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A83C" w14:textId="77777777" w:rsidR="00900ECE" w:rsidRPr="00DA37F0" w:rsidRDefault="00900ECE" w:rsidP="00D203FC">
      <w:pPr>
        <w:spacing w:after="0"/>
        <w:jc w:val="both"/>
        <w:rPr>
          <w:rFonts w:ascii="Arial" w:hAnsi="Arial" w:cs="Arial"/>
          <w:b/>
          <w:bCs/>
        </w:rPr>
      </w:pPr>
    </w:p>
    <w:p w14:paraId="566A23C5" w14:textId="77777777" w:rsidR="00900ECE" w:rsidRPr="00DA37F0" w:rsidRDefault="00900ECE" w:rsidP="00D203FC">
      <w:pPr>
        <w:spacing w:after="0"/>
        <w:jc w:val="both"/>
        <w:rPr>
          <w:rFonts w:ascii="Arial" w:hAnsi="Arial" w:cs="Arial"/>
          <w:b/>
          <w:bCs/>
        </w:rPr>
      </w:pPr>
    </w:p>
    <w:p w14:paraId="64311795" w14:textId="7D3456A2" w:rsidR="00D203FC" w:rsidRPr="00DA37F0" w:rsidRDefault="00D203FC" w:rsidP="00D203FC">
      <w:pPr>
        <w:spacing w:after="0"/>
        <w:jc w:val="both"/>
        <w:rPr>
          <w:rFonts w:ascii="Arial" w:hAnsi="Arial" w:cs="Arial"/>
          <w:b/>
          <w:bCs/>
        </w:rPr>
      </w:pPr>
      <w:r w:rsidRPr="00DA37F0">
        <w:rPr>
          <w:rFonts w:ascii="Arial" w:hAnsi="Arial" w:cs="Arial"/>
          <w:b/>
          <w:bCs/>
        </w:rPr>
        <w:t xml:space="preserve">Lp </w:t>
      </w:r>
      <w:r w:rsidR="00DA37F0" w:rsidRPr="00DA37F0">
        <w:rPr>
          <w:rFonts w:ascii="Arial" w:hAnsi="Arial" w:cs="Arial"/>
          <w:b/>
          <w:bCs/>
        </w:rPr>
        <w:t>Mart Võrklaev</w:t>
      </w:r>
    </w:p>
    <w:p w14:paraId="4A628AFE" w14:textId="6F07D821" w:rsidR="00D203FC" w:rsidRPr="00DA37F0" w:rsidRDefault="00DA37F0" w:rsidP="00D203FC">
      <w:pPr>
        <w:spacing w:after="0"/>
        <w:jc w:val="both"/>
        <w:rPr>
          <w:rFonts w:ascii="Arial" w:hAnsi="Arial" w:cs="Arial"/>
          <w:b/>
          <w:bCs/>
        </w:rPr>
      </w:pPr>
      <w:r w:rsidRPr="00DA37F0">
        <w:rPr>
          <w:rFonts w:ascii="Arial" w:hAnsi="Arial" w:cs="Arial"/>
          <w:b/>
          <w:bCs/>
        </w:rPr>
        <w:t>Rahandusministeerium</w:t>
      </w:r>
    </w:p>
    <w:p w14:paraId="417B0046" w14:textId="496A06C6" w:rsidR="00D203FC" w:rsidRPr="00DA37F0" w:rsidRDefault="0039399E" w:rsidP="00D203FC">
      <w:pPr>
        <w:spacing w:after="0"/>
        <w:jc w:val="right"/>
        <w:rPr>
          <w:rFonts w:ascii="Arial" w:hAnsi="Arial" w:cs="Arial"/>
        </w:rPr>
      </w:pPr>
      <w:r>
        <w:rPr>
          <w:rFonts w:ascii="Arial" w:hAnsi="Arial" w:cs="Arial"/>
        </w:rPr>
        <w:t>20.</w:t>
      </w:r>
      <w:r w:rsidR="00D203FC" w:rsidRPr="00DA37F0">
        <w:rPr>
          <w:rFonts w:ascii="Arial" w:hAnsi="Arial" w:cs="Arial"/>
        </w:rPr>
        <w:t>07.2023</w:t>
      </w:r>
    </w:p>
    <w:p w14:paraId="26C65AA4" w14:textId="77777777" w:rsidR="00D203FC" w:rsidRPr="00DA37F0" w:rsidRDefault="00D203FC" w:rsidP="00D203FC">
      <w:pPr>
        <w:spacing w:after="0"/>
        <w:jc w:val="both"/>
        <w:rPr>
          <w:rFonts w:ascii="Arial" w:hAnsi="Arial" w:cs="Arial"/>
        </w:rPr>
      </w:pPr>
    </w:p>
    <w:p w14:paraId="5AD43738" w14:textId="3021C23D" w:rsidR="00B54914" w:rsidRPr="00DA37F0" w:rsidRDefault="00D548DD" w:rsidP="00D203FC">
      <w:pPr>
        <w:spacing w:after="0"/>
        <w:jc w:val="both"/>
        <w:rPr>
          <w:rFonts w:ascii="Arial" w:hAnsi="Arial" w:cs="Arial"/>
        </w:rPr>
      </w:pPr>
      <w:r w:rsidRPr="00DA37F0">
        <w:rPr>
          <w:rFonts w:ascii="Arial" w:hAnsi="Arial" w:cs="Arial"/>
        </w:rPr>
        <w:t xml:space="preserve">Täname võimaluse eest avaldada arvamust krediidiinkassode ja -ostjate seaduse </w:t>
      </w:r>
      <w:r w:rsidR="00920069" w:rsidRPr="00DA37F0">
        <w:rPr>
          <w:rFonts w:ascii="Arial" w:hAnsi="Arial" w:cs="Arial"/>
        </w:rPr>
        <w:t xml:space="preserve">(edaspidi KIKS) </w:t>
      </w:r>
      <w:r w:rsidRPr="00DA37F0">
        <w:rPr>
          <w:rFonts w:ascii="Arial" w:hAnsi="Arial" w:cs="Arial"/>
        </w:rPr>
        <w:t>eelnõu ja seletuskirja kohta.</w:t>
      </w:r>
      <w:r w:rsidR="00920069" w:rsidRPr="00DA37F0">
        <w:rPr>
          <w:rFonts w:ascii="Arial" w:hAnsi="Arial" w:cs="Arial"/>
        </w:rPr>
        <w:t xml:space="preserve"> A</w:t>
      </w:r>
      <w:r w:rsidR="00D203FC" w:rsidRPr="00DA37F0">
        <w:rPr>
          <w:rFonts w:ascii="Arial" w:hAnsi="Arial" w:cs="Arial"/>
        </w:rPr>
        <w:t xml:space="preserve">lljärgnevalt </w:t>
      </w:r>
      <w:r w:rsidR="00920069" w:rsidRPr="00DA37F0">
        <w:rPr>
          <w:rFonts w:ascii="Arial" w:hAnsi="Arial" w:cs="Arial"/>
        </w:rPr>
        <w:t xml:space="preserve">leiate Eesti </w:t>
      </w:r>
      <w:r w:rsidRPr="00DA37F0">
        <w:rPr>
          <w:rFonts w:ascii="Arial" w:hAnsi="Arial" w:cs="Arial"/>
        </w:rPr>
        <w:t>Pangaliidu</w:t>
      </w:r>
      <w:r w:rsidR="00D203FC" w:rsidRPr="00DA37F0">
        <w:rPr>
          <w:rFonts w:ascii="Arial" w:hAnsi="Arial" w:cs="Arial"/>
        </w:rPr>
        <w:t xml:space="preserve"> kommentaarid</w:t>
      </w:r>
      <w:r w:rsidR="00D919AA" w:rsidRPr="00DA37F0">
        <w:rPr>
          <w:rFonts w:ascii="Arial" w:hAnsi="Arial" w:cs="Arial"/>
        </w:rPr>
        <w:t xml:space="preserve"> ja ettepanekud</w:t>
      </w:r>
      <w:r w:rsidR="00D203FC" w:rsidRPr="00DA37F0">
        <w:rPr>
          <w:rFonts w:ascii="Arial" w:hAnsi="Arial" w:cs="Arial"/>
        </w:rPr>
        <w:t>.</w:t>
      </w:r>
    </w:p>
    <w:p w14:paraId="1A255AB4" w14:textId="77777777" w:rsidR="00920069" w:rsidRPr="00DA37F0" w:rsidRDefault="00920069" w:rsidP="00D203FC">
      <w:pPr>
        <w:spacing w:after="0"/>
        <w:jc w:val="both"/>
        <w:rPr>
          <w:rFonts w:ascii="Arial" w:hAnsi="Arial" w:cs="Arial"/>
        </w:rPr>
      </w:pPr>
    </w:p>
    <w:p w14:paraId="6B2623DF" w14:textId="2B56C8D9" w:rsidR="00920069" w:rsidRDefault="00920069" w:rsidP="00920069">
      <w:pPr>
        <w:spacing w:after="0"/>
        <w:jc w:val="both"/>
        <w:rPr>
          <w:rFonts w:ascii="Arial" w:hAnsi="Arial" w:cs="Arial"/>
        </w:rPr>
      </w:pPr>
      <w:r w:rsidRPr="00DA37F0">
        <w:rPr>
          <w:rFonts w:ascii="Arial" w:hAnsi="Arial" w:cs="Arial"/>
        </w:rPr>
        <w:t xml:space="preserve">Üldiselt on tervitatav, et inkassoteenuste </w:t>
      </w:r>
      <w:proofErr w:type="spellStart"/>
      <w:r w:rsidRPr="00DA37F0">
        <w:rPr>
          <w:rFonts w:ascii="Arial" w:hAnsi="Arial" w:cs="Arial"/>
        </w:rPr>
        <w:t>osutajatele</w:t>
      </w:r>
      <w:proofErr w:type="spellEnd"/>
      <w:r w:rsidRPr="00DA37F0">
        <w:rPr>
          <w:rFonts w:ascii="Arial" w:hAnsi="Arial" w:cs="Arial"/>
        </w:rPr>
        <w:t xml:space="preserve"> kohaldatakse tulevikus samuti riiklikku järelevalvet, samas leidub eelnõus mitmeid krediidiasutusi puudutavaid teemasid, millele soovime tähelepanu juhtida.</w:t>
      </w:r>
    </w:p>
    <w:p w14:paraId="3B6404B9" w14:textId="21D0BEF6" w:rsidR="004B0771" w:rsidRPr="004B0771" w:rsidRDefault="004B0771" w:rsidP="00920069">
      <w:pPr>
        <w:spacing w:after="0"/>
        <w:jc w:val="both"/>
        <w:rPr>
          <w:rFonts w:ascii="Arial" w:hAnsi="Arial" w:cs="Arial"/>
        </w:rPr>
      </w:pPr>
    </w:p>
    <w:p w14:paraId="603A9DA9" w14:textId="4F94E3D9" w:rsidR="004B0771" w:rsidRPr="004B0771" w:rsidRDefault="004B0771" w:rsidP="00920069">
      <w:pPr>
        <w:spacing w:after="0"/>
        <w:jc w:val="both"/>
        <w:rPr>
          <w:rFonts w:ascii="Arial" w:hAnsi="Arial" w:cs="Arial"/>
        </w:rPr>
      </w:pPr>
      <w:r w:rsidRPr="005857AD">
        <w:rPr>
          <w:rFonts w:ascii="Arial" w:hAnsi="Arial" w:cs="Arial"/>
          <w:b/>
          <w:bCs/>
        </w:rPr>
        <w:t>KIKS § 3</w:t>
      </w:r>
      <w:r w:rsidRPr="004B0771">
        <w:rPr>
          <w:rFonts w:ascii="Arial" w:hAnsi="Arial" w:cs="Arial"/>
        </w:rPr>
        <w:t xml:space="preserve"> </w:t>
      </w:r>
      <w:r w:rsidRPr="003B3F61">
        <w:rPr>
          <w:rFonts w:ascii="Arial" w:hAnsi="Arial" w:cs="Arial"/>
          <w:b/>
          <w:bCs/>
        </w:rPr>
        <w:t>Krediidihaldustegevus, krediidiinkasso ja krediidiostja</w:t>
      </w:r>
      <w:r w:rsidRPr="003B3F61">
        <w:rPr>
          <w:rFonts w:ascii="Arial" w:hAnsi="Arial" w:cs="Arial"/>
        </w:rPr>
        <w:t xml:space="preserve">- seaduse eelnõu seletuskirja kohaselt on seaduse eesmärk reguleerida inkassofirmade ja nendega seotud isikute (nn võlgade ülesostmise finantseerijate) tegevust. Antud paragrahvi </w:t>
      </w:r>
      <w:r w:rsidR="005857AD">
        <w:rPr>
          <w:rFonts w:ascii="Arial" w:hAnsi="Arial" w:cs="Arial"/>
        </w:rPr>
        <w:t xml:space="preserve">järgi </w:t>
      </w:r>
      <w:r w:rsidRPr="003B3F61">
        <w:rPr>
          <w:rFonts w:ascii="Arial" w:hAnsi="Arial" w:cs="Arial"/>
        </w:rPr>
        <w:t xml:space="preserve">on krediidihaldustegevus krediidilepingu või sellest tuleneva nõudega seotud rahaliste kohustuste sissenõudmine või tasumisele kuuluvate maksete kogumine krediidisaajalt või krediidilepingust tulenevate krediidiasutuse või krediidiandja nõuete või krediidilepingu tingimuste üle krediidisaajaga läbirääkimiste pidamine vastavalt krediidiostja antud juhistele. </w:t>
      </w:r>
      <w:r w:rsidR="005857AD">
        <w:rPr>
          <w:rFonts w:ascii="Arial" w:hAnsi="Arial" w:cs="Arial"/>
        </w:rPr>
        <w:t>Kuivõrd krediidilepingute haldamine hõlmab igal juhul ka eelnevaid tegevusi siis s</w:t>
      </w:r>
      <w:r w:rsidR="003B3F61">
        <w:rPr>
          <w:rFonts w:ascii="Arial" w:hAnsi="Arial" w:cs="Arial"/>
        </w:rPr>
        <w:t>õnastus lubab tõlgendust</w:t>
      </w:r>
      <w:r w:rsidR="005857AD">
        <w:rPr>
          <w:rFonts w:ascii="Arial" w:hAnsi="Arial" w:cs="Arial"/>
        </w:rPr>
        <w:t>, et</w:t>
      </w:r>
      <w:r w:rsidR="003B3F61">
        <w:rPr>
          <w:rFonts w:ascii="Arial" w:hAnsi="Arial" w:cs="Arial"/>
        </w:rPr>
        <w:t xml:space="preserve"> seadus </w:t>
      </w:r>
      <w:r w:rsidR="005857AD">
        <w:rPr>
          <w:rFonts w:ascii="Arial" w:hAnsi="Arial" w:cs="Arial"/>
        </w:rPr>
        <w:t>võib laieneda ka</w:t>
      </w:r>
      <w:r w:rsidRPr="003B3F61">
        <w:rPr>
          <w:rFonts w:ascii="Arial" w:hAnsi="Arial" w:cs="Arial"/>
        </w:rPr>
        <w:t xml:space="preserve"> erinevalt eelnõu seletuskirjas </w:t>
      </w:r>
      <w:r w:rsidR="005857AD">
        <w:rPr>
          <w:rFonts w:ascii="Arial" w:hAnsi="Arial" w:cs="Arial"/>
        </w:rPr>
        <w:t>toodust</w:t>
      </w:r>
      <w:r w:rsidR="003B3F61">
        <w:rPr>
          <w:rFonts w:ascii="Arial" w:hAnsi="Arial" w:cs="Arial"/>
        </w:rPr>
        <w:t>,</w:t>
      </w:r>
      <w:r w:rsidRPr="003B3F61">
        <w:rPr>
          <w:rFonts w:ascii="Arial" w:hAnsi="Arial" w:cs="Arial"/>
        </w:rPr>
        <w:t xml:space="preserve"> igasuguse</w:t>
      </w:r>
      <w:r w:rsidR="005857AD">
        <w:rPr>
          <w:rFonts w:ascii="Arial" w:hAnsi="Arial" w:cs="Arial"/>
        </w:rPr>
        <w:t xml:space="preserve">le </w:t>
      </w:r>
      <w:r w:rsidR="003B3F61">
        <w:rPr>
          <w:rFonts w:ascii="Arial" w:hAnsi="Arial" w:cs="Arial"/>
        </w:rPr>
        <w:t>viivises oleva</w:t>
      </w:r>
      <w:r w:rsidRPr="003B3F61">
        <w:rPr>
          <w:rFonts w:ascii="Arial" w:hAnsi="Arial" w:cs="Arial"/>
        </w:rPr>
        <w:t xml:space="preserve"> krediidi müügile, sealhulgas viivises olevate ärilaenu müügile</w:t>
      </w:r>
      <w:r w:rsidR="005857AD">
        <w:rPr>
          <w:rFonts w:ascii="Arial" w:hAnsi="Arial" w:cs="Arial"/>
        </w:rPr>
        <w:t xml:space="preserve">. </w:t>
      </w:r>
      <w:r w:rsidR="003B3F61">
        <w:rPr>
          <w:rFonts w:ascii="Arial" w:hAnsi="Arial" w:cs="Arial"/>
        </w:rPr>
        <w:t>Viitame, et</w:t>
      </w:r>
      <w:r w:rsidRPr="003B3F61">
        <w:rPr>
          <w:rFonts w:ascii="Arial" w:hAnsi="Arial" w:cs="Arial"/>
        </w:rPr>
        <w:t xml:space="preserve"> </w:t>
      </w:r>
      <w:r w:rsidR="003B3F61">
        <w:rPr>
          <w:rFonts w:ascii="Arial" w:hAnsi="Arial" w:cs="Arial"/>
        </w:rPr>
        <w:t>k</w:t>
      </w:r>
      <w:r w:rsidRPr="003B3F61">
        <w:rPr>
          <w:rFonts w:ascii="Arial" w:hAnsi="Arial" w:cs="Arial"/>
        </w:rPr>
        <w:t>rediidi müügi</w:t>
      </w:r>
      <w:r w:rsidR="005857AD">
        <w:rPr>
          <w:rFonts w:ascii="Arial" w:hAnsi="Arial" w:cs="Arial"/>
        </w:rPr>
        <w:t xml:space="preserve"> ja ostuga</w:t>
      </w:r>
      <w:r w:rsidRPr="003B3F61">
        <w:rPr>
          <w:rFonts w:ascii="Arial" w:hAnsi="Arial" w:cs="Arial"/>
        </w:rPr>
        <w:t xml:space="preserve"> tegelevad ka muud ühingud peale inkassoteenuste </w:t>
      </w:r>
      <w:proofErr w:type="spellStart"/>
      <w:r w:rsidRPr="003B3F61">
        <w:rPr>
          <w:rFonts w:ascii="Arial" w:hAnsi="Arial" w:cs="Arial"/>
        </w:rPr>
        <w:t>osutajate</w:t>
      </w:r>
      <w:proofErr w:type="spellEnd"/>
      <w:r w:rsidRPr="003B3F61">
        <w:rPr>
          <w:rFonts w:ascii="Arial" w:hAnsi="Arial" w:cs="Arial"/>
        </w:rPr>
        <w:t>. Näiteks investeerimisühingud, fondid või krediidiasutustega samasse gruppi kuuluvad ühingud</w:t>
      </w:r>
      <w:r w:rsidR="00F56C8E">
        <w:rPr>
          <w:rFonts w:ascii="Arial" w:hAnsi="Arial" w:cs="Arial"/>
        </w:rPr>
        <w:t>,</w:t>
      </w:r>
      <w:r w:rsidRPr="003B3F61">
        <w:rPr>
          <w:rFonts w:ascii="Arial" w:hAnsi="Arial" w:cs="Arial"/>
        </w:rPr>
        <w:t xml:space="preserve"> eesmärgita osutada inkassoteenust.</w:t>
      </w:r>
      <w:r w:rsidR="00233B81">
        <w:rPr>
          <w:rFonts w:ascii="Arial" w:hAnsi="Arial" w:cs="Arial"/>
        </w:rPr>
        <w:t xml:space="preserve"> Tegemist on tavapärase äritegevuseg</w:t>
      </w:r>
      <w:r w:rsidR="00366DE3">
        <w:rPr>
          <w:rFonts w:ascii="Arial" w:hAnsi="Arial" w:cs="Arial"/>
        </w:rPr>
        <w:t>a, millele seadus seaks teatud piirangud.</w:t>
      </w:r>
      <w:r w:rsidR="00A02275">
        <w:rPr>
          <w:rFonts w:ascii="Arial" w:hAnsi="Arial" w:cs="Arial"/>
        </w:rPr>
        <w:t xml:space="preserve"> Sealhulgas piirab uus seaduse võlgade ümberkujundamist sama tehingu raames, kus on algselt erinevad võlausaldajad, seades sama lepingu raames krediidi omandajele toimiku nõude ning teavituskohustused.</w:t>
      </w:r>
      <w:r w:rsidR="00366DE3">
        <w:rPr>
          <w:rFonts w:ascii="Arial" w:hAnsi="Arial" w:cs="Arial"/>
        </w:rPr>
        <w:t xml:space="preserve"> </w:t>
      </w:r>
      <w:r w:rsidRPr="003B3F61">
        <w:rPr>
          <w:rFonts w:ascii="Arial" w:hAnsi="Arial" w:cs="Arial"/>
        </w:rPr>
        <w:t xml:space="preserve">Seega </w:t>
      </w:r>
      <w:r w:rsidR="00233B81">
        <w:rPr>
          <w:rFonts w:ascii="Arial" w:hAnsi="Arial" w:cs="Arial"/>
        </w:rPr>
        <w:t>palume kaaluda</w:t>
      </w:r>
      <w:r w:rsidRPr="003B3F61">
        <w:rPr>
          <w:rFonts w:ascii="Arial" w:hAnsi="Arial" w:cs="Arial"/>
        </w:rPr>
        <w:t xml:space="preserve"> </w:t>
      </w:r>
      <w:r w:rsidR="00233B81">
        <w:rPr>
          <w:rFonts w:ascii="Arial" w:hAnsi="Arial" w:cs="Arial"/>
        </w:rPr>
        <w:t xml:space="preserve">ärikrediidi </w:t>
      </w:r>
      <w:r w:rsidRPr="003B3F61">
        <w:rPr>
          <w:rFonts w:ascii="Arial" w:hAnsi="Arial" w:cs="Arial"/>
        </w:rPr>
        <w:t xml:space="preserve">eemaldamist kohaldamisalast või </w:t>
      </w:r>
      <w:r>
        <w:rPr>
          <w:rFonts w:ascii="Arial" w:hAnsi="Arial" w:cs="Arial"/>
        </w:rPr>
        <w:t>täpsustada, et ärilaenude võõrandami</w:t>
      </w:r>
      <w:r w:rsidR="00A02275">
        <w:rPr>
          <w:rFonts w:ascii="Arial" w:hAnsi="Arial" w:cs="Arial"/>
        </w:rPr>
        <w:t>sel</w:t>
      </w:r>
      <w:r>
        <w:rPr>
          <w:rFonts w:ascii="Arial" w:hAnsi="Arial" w:cs="Arial"/>
        </w:rPr>
        <w:t xml:space="preserve"> muul</w:t>
      </w:r>
      <w:r w:rsidR="00390912">
        <w:rPr>
          <w:rFonts w:ascii="Arial" w:hAnsi="Arial" w:cs="Arial"/>
        </w:rPr>
        <w:t xml:space="preserve">e ühingule kui inkassoteenuse </w:t>
      </w:r>
      <w:proofErr w:type="spellStart"/>
      <w:r w:rsidR="00390912">
        <w:rPr>
          <w:rFonts w:ascii="Arial" w:hAnsi="Arial" w:cs="Arial"/>
        </w:rPr>
        <w:t>osutajale</w:t>
      </w:r>
      <w:proofErr w:type="spellEnd"/>
      <w:r w:rsidR="00390912">
        <w:rPr>
          <w:rFonts w:ascii="Arial" w:hAnsi="Arial" w:cs="Arial"/>
        </w:rPr>
        <w:t xml:space="preserve">, seadus ei kohaldu. </w:t>
      </w:r>
      <w:r w:rsidR="0013482A">
        <w:rPr>
          <w:rFonts w:ascii="Arial" w:hAnsi="Arial" w:cs="Arial"/>
        </w:rPr>
        <w:t xml:space="preserve">Krediidi võõrandaja ei </w:t>
      </w:r>
      <w:r w:rsidR="005A2E60">
        <w:rPr>
          <w:rFonts w:ascii="Arial" w:hAnsi="Arial" w:cs="Arial"/>
        </w:rPr>
        <w:t xml:space="preserve">ole reeglina </w:t>
      </w:r>
      <w:r w:rsidR="0013482A">
        <w:rPr>
          <w:rFonts w:ascii="Arial" w:hAnsi="Arial" w:cs="Arial"/>
        </w:rPr>
        <w:t xml:space="preserve">teadlik, mis võõrandatud ärikrediidist edasi saab. </w:t>
      </w:r>
    </w:p>
    <w:p w14:paraId="1FD4CAC4" w14:textId="77777777" w:rsidR="00B54914" w:rsidRPr="00DA37F0" w:rsidRDefault="00B54914" w:rsidP="00D203FC">
      <w:pPr>
        <w:spacing w:after="0"/>
        <w:jc w:val="both"/>
        <w:rPr>
          <w:rFonts w:ascii="Arial" w:hAnsi="Arial" w:cs="Arial"/>
          <w:b/>
          <w:bCs/>
        </w:rPr>
      </w:pPr>
    </w:p>
    <w:p w14:paraId="7B0D3DF9" w14:textId="5BCC6D22" w:rsidR="004B0634" w:rsidRPr="00DA37F0" w:rsidRDefault="004B0634" w:rsidP="00D203FC">
      <w:pPr>
        <w:spacing w:after="0"/>
        <w:jc w:val="both"/>
        <w:rPr>
          <w:rFonts w:ascii="Arial" w:hAnsi="Arial" w:cs="Arial"/>
          <w:b/>
          <w:bCs/>
        </w:rPr>
      </w:pPr>
      <w:r w:rsidRPr="00DA37F0">
        <w:rPr>
          <w:rFonts w:ascii="Arial" w:hAnsi="Arial" w:cs="Arial"/>
          <w:b/>
          <w:bCs/>
        </w:rPr>
        <w:t>KIKS § 44 Krediiditoimiku pidamine</w:t>
      </w:r>
      <w:r w:rsidRPr="00DA37F0">
        <w:rPr>
          <w:rFonts w:ascii="Arial" w:hAnsi="Arial" w:cs="Arial"/>
        </w:rPr>
        <w:t xml:space="preserve"> – krediiditoimiku pidamise kohtustus on eelnõus küll pandud  krediidiinkassole (või -ostjale), kuid üldjuhul on laenu väljastamisega seotud krediiditoimiku osad (analüüs, krediid</w:t>
      </w:r>
      <w:r w:rsidR="00D203FC" w:rsidRPr="00DA37F0">
        <w:rPr>
          <w:rFonts w:ascii="Arial" w:hAnsi="Arial" w:cs="Arial"/>
        </w:rPr>
        <w:t>i</w:t>
      </w:r>
      <w:r w:rsidRPr="00DA37F0">
        <w:rPr>
          <w:rFonts w:ascii="Arial" w:hAnsi="Arial" w:cs="Arial"/>
        </w:rPr>
        <w:t xml:space="preserve">memo, krediidiotsused) koostatud krediidi väljastanud krediidiasutuse poolt. Viidatud dokumendid sisaldavad </w:t>
      </w:r>
      <w:r w:rsidR="00245D6A" w:rsidRPr="00DA37F0">
        <w:rPr>
          <w:rFonts w:ascii="Arial" w:hAnsi="Arial" w:cs="Arial"/>
        </w:rPr>
        <w:t xml:space="preserve">reeglina </w:t>
      </w:r>
      <w:r w:rsidRPr="00DA37F0">
        <w:rPr>
          <w:rFonts w:ascii="Arial" w:hAnsi="Arial" w:cs="Arial"/>
        </w:rPr>
        <w:t xml:space="preserve">nii </w:t>
      </w:r>
      <w:r w:rsidR="00CE0273" w:rsidRPr="00DA37F0">
        <w:rPr>
          <w:rFonts w:ascii="Arial" w:hAnsi="Arial" w:cs="Arial"/>
        </w:rPr>
        <w:t xml:space="preserve">isikuandmeid, </w:t>
      </w:r>
      <w:r w:rsidRPr="00DA37F0">
        <w:rPr>
          <w:rFonts w:ascii="Arial" w:hAnsi="Arial" w:cs="Arial"/>
        </w:rPr>
        <w:t>panga- kui ka ärisaladust</w:t>
      </w:r>
      <w:r w:rsidR="00245D6A" w:rsidRPr="00DA37F0">
        <w:rPr>
          <w:rFonts w:ascii="Arial" w:hAnsi="Arial" w:cs="Arial"/>
        </w:rPr>
        <w:t>, mida krediidiasutused ei saagi nõude loovutamisel krediidiinkassole üle anda</w:t>
      </w:r>
      <w:r w:rsidRPr="00DA37F0">
        <w:rPr>
          <w:rFonts w:ascii="Arial" w:hAnsi="Arial" w:cs="Arial"/>
        </w:rPr>
        <w:t xml:space="preserve">. </w:t>
      </w:r>
      <w:r w:rsidR="00920069" w:rsidRPr="00DA37F0">
        <w:rPr>
          <w:rFonts w:ascii="Arial" w:hAnsi="Arial" w:cs="Arial"/>
        </w:rPr>
        <w:t>Pankade</w:t>
      </w:r>
      <w:r w:rsidRPr="00DA37F0">
        <w:rPr>
          <w:rFonts w:ascii="Arial" w:hAnsi="Arial" w:cs="Arial"/>
        </w:rPr>
        <w:t xml:space="preserve"> kogemuse kohaselt </w:t>
      </w:r>
      <w:r w:rsidR="00245D6A" w:rsidRPr="00DA37F0">
        <w:rPr>
          <w:rFonts w:ascii="Arial" w:hAnsi="Arial" w:cs="Arial"/>
        </w:rPr>
        <w:t xml:space="preserve">praktikas </w:t>
      </w:r>
      <w:r w:rsidRPr="00DA37F0">
        <w:rPr>
          <w:rFonts w:ascii="Arial" w:hAnsi="Arial" w:cs="Arial"/>
        </w:rPr>
        <w:t xml:space="preserve">hetkel viidatud krediiditoimiku elemente nõude loovutamisel krediidiinkassole üle ei anta. </w:t>
      </w:r>
      <w:r w:rsidR="00D203FC" w:rsidRPr="00DA37F0">
        <w:rPr>
          <w:rFonts w:ascii="Arial" w:hAnsi="Arial" w:cs="Arial"/>
        </w:rPr>
        <w:t>Leiame, et v</w:t>
      </w:r>
      <w:r w:rsidRPr="00DA37F0">
        <w:rPr>
          <w:rFonts w:ascii="Arial" w:hAnsi="Arial" w:cs="Arial"/>
        </w:rPr>
        <w:t xml:space="preserve">ajalik </w:t>
      </w:r>
      <w:r w:rsidR="00D203FC" w:rsidRPr="00DA37F0">
        <w:rPr>
          <w:rFonts w:ascii="Arial" w:hAnsi="Arial" w:cs="Arial"/>
        </w:rPr>
        <w:t xml:space="preserve">on </w:t>
      </w:r>
      <w:r w:rsidR="00CE0273" w:rsidRPr="00DA37F0">
        <w:rPr>
          <w:rFonts w:ascii="Arial" w:hAnsi="Arial" w:cs="Arial"/>
        </w:rPr>
        <w:t xml:space="preserve">seaduseelnõu koostajate </w:t>
      </w:r>
      <w:r w:rsidRPr="00DA37F0">
        <w:rPr>
          <w:rFonts w:ascii="Arial" w:hAnsi="Arial" w:cs="Arial"/>
        </w:rPr>
        <w:t>selgitus</w:t>
      </w:r>
      <w:r w:rsidR="000C6633" w:rsidRPr="00DA37F0">
        <w:rPr>
          <w:rFonts w:ascii="Arial" w:hAnsi="Arial" w:cs="Arial"/>
        </w:rPr>
        <w:t xml:space="preserve"> ja vajadusel </w:t>
      </w:r>
      <w:r w:rsidR="00D203FC" w:rsidRPr="00DA37F0">
        <w:rPr>
          <w:rFonts w:ascii="Arial" w:hAnsi="Arial" w:cs="Arial"/>
        </w:rPr>
        <w:t xml:space="preserve">teha </w:t>
      </w:r>
      <w:r w:rsidR="000C6633" w:rsidRPr="00DA37F0">
        <w:rPr>
          <w:rFonts w:ascii="Arial" w:hAnsi="Arial" w:cs="Arial"/>
        </w:rPr>
        <w:t>täpsustus seadusesse</w:t>
      </w:r>
      <w:r w:rsidR="00245D6A" w:rsidRPr="00DA37F0">
        <w:rPr>
          <w:rFonts w:ascii="Arial" w:hAnsi="Arial" w:cs="Arial"/>
        </w:rPr>
        <w:t>, teeme ettepaneku, et krediiditoimiku pidamise kohustus tekib krediidiinkassol hetkest kui nõue talle loovutatakse ja nö ajaloolisi andmeid (algset krediiditoimikut) loovutamisel üle ei anta</w:t>
      </w:r>
      <w:r w:rsidR="00D203FC" w:rsidRPr="00DA37F0">
        <w:rPr>
          <w:rFonts w:ascii="Arial" w:hAnsi="Arial" w:cs="Arial"/>
        </w:rPr>
        <w:t xml:space="preserve"> ja krediidiinkasso krediiditoimik nimetatud andmeid ka ei pea sisaldama</w:t>
      </w:r>
      <w:r w:rsidR="00CE0273" w:rsidRPr="00DA37F0">
        <w:rPr>
          <w:rFonts w:ascii="Arial" w:hAnsi="Arial" w:cs="Arial"/>
        </w:rPr>
        <w:t>.</w:t>
      </w:r>
    </w:p>
    <w:p w14:paraId="4008B228" w14:textId="69013499" w:rsidR="00A95998" w:rsidRPr="00DA37F0" w:rsidRDefault="00A95998" w:rsidP="00D203FC">
      <w:pPr>
        <w:spacing w:after="0"/>
        <w:jc w:val="both"/>
        <w:rPr>
          <w:rFonts w:ascii="Arial" w:hAnsi="Arial" w:cs="Arial"/>
          <w:b/>
          <w:bCs/>
        </w:rPr>
      </w:pPr>
    </w:p>
    <w:p w14:paraId="74DE3B1A" w14:textId="2958B2C9" w:rsidR="00171C64" w:rsidRPr="00171C64" w:rsidRDefault="00171C64" w:rsidP="00171C64">
      <w:pPr>
        <w:spacing w:after="0"/>
        <w:jc w:val="both"/>
        <w:rPr>
          <w:rFonts w:ascii="Arial" w:hAnsi="Arial" w:cs="Arial"/>
        </w:rPr>
      </w:pPr>
      <w:r w:rsidRPr="00171C64">
        <w:rPr>
          <w:rFonts w:ascii="Arial" w:hAnsi="Arial" w:cs="Arial"/>
          <w:b/>
          <w:bCs/>
        </w:rPr>
        <w:t xml:space="preserve">KIKS § 59 lg 1 p 8 ja KIKS § 59 lg 2 </w:t>
      </w:r>
      <w:r w:rsidR="00453D71">
        <w:rPr>
          <w:rFonts w:ascii="Arial" w:hAnsi="Arial" w:cs="Arial"/>
          <w:b/>
          <w:bCs/>
        </w:rPr>
        <w:t xml:space="preserve"> ja KIKS § 59 lg 9</w:t>
      </w:r>
      <w:r w:rsidRPr="00171C64">
        <w:rPr>
          <w:rFonts w:ascii="Arial" w:hAnsi="Arial" w:cs="Arial"/>
          <w:b/>
          <w:bCs/>
        </w:rPr>
        <w:t xml:space="preserve">– </w:t>
      </w:r>
      <w:r w:rsidRPr="00171C64">
        <w:rPr>
          <w:rFonts w:ascii="Arial" w:hAnsi="Arial" w:cs="Arial"/>
        </w:rPr>
        <w:t xml:space="preserve">Kuna </w:t>
      </w:r>
      <w:r w:rsidR="00920069" w:rsidRPr="00DA37F0">
        <w:rPr>
          <w:rFonts w:ascii="Arial" w:hAnsi="Arial" w:cs="Arial"/>
        </w:rPr>
        <w:t xml:space="preserve">pankade </w:t>
      </w:r>
      <w:r w:rsidRPr="00171C64">
        <w:rPr>
          <w:rFonts w:ascii="Arial" w:hAnsi="Arial" w:cs="Arial"/>
        </w:rPr>
        <w:t>praktika</w:t>
      </w:r>
      <w:r w:rsidR="00920069" w:rsidRPr="00DA37F0">
        <w:rPr>
          <w:rFonts w:ascii="Arial" w:hAnsi="Arial" w:cs="Arial"/>
        </w:rPr>
        <w:t xml:space="preserve"> kohaselt nõuete loovutamisel </w:t>
      </w:r>
      <w:r w:rsidRPr="00171C64">
        <w:rPr>
          <w:rFonts w:ascii="Arial" w:hAnsi="Arial" w:cs="Arial"/>
        </w:rPr>
        <w:t>inkassodele kõiki krediidi</w:t>
      </w:r>
      <w:r w:rsidR="00920069" w:rsidRPr="00DA37F0">
        <w:rPr>
          <w:rFonts w:ascii="Arial" w:hAnsi="Arial" w:cs="Arial"/>
        </w:rPr>
        <w:t>toimiku</w:t>
      </w:r>
      <w:r w:rsidRPr="00171C64">
        <w:rPr>
          <w:rFonts w:ascii="Arial" w:hAnsi="Arial" w:cs="Arial"/>
        </w:rPr>
        <w:t xml:space="preserve"> ja nõude aluseks esitatavaid dokumente </w:t>
      </w:r>
      <w:r w:rsidR="00920069" w:rsidRPr="00DA37F0">
        <w:rPr>
          <w:rFonts w:ascii="Arial" w:hAnsi="Arial" w:cs="Arial"/>
        </w:rPr>
        <w:t>üle ei anta</w:t>
      </w:r>
      <w:r w:rsidRPr="00171C64">
        <w:rPr>
          <w:rFonts w:ascii="Arial" w:hAnsi="Arial" w:cs="Arial"/>
        </w:rPr>
        <w:t>, oleks vaja täpsustada, kas lg 2 võimaldab esindaja määramist osaliselt, kus kogu suhtlus võlgnikuga käib läbi krediidiinkasso, kuid nõude aluseks olevate dokumentide saamisel on krediid</w:t>
      </w:r>
      <w:r w:rsidR="00BE206A" w:rsidRPr="00DA37F0">
        <w:rPr>
          <w:rFonts w:ascii="Arial" w:hAnsi="Arial" w:cs="Arial"/>
        </w:rPr>
        <w:t>i</w:t>
      </w:r>
      <w:r w:rsidRPr="00171C64">
        <w:rPr>
          <w:rFonts w:ascii="Arial" w:hAnsi="Arial" w:cs="Arial"/>
        </w:rPr>
        <w:t xml:space="preserve">inkasso esindaja krediidiasutus ise. Teiseks tuleks täpsustada, mida mõeldakse </w:t>
      </w:r>
      <w:r w:rsidRPr="00171C64">
        <w:rPr>
          <w:rFonts w:ascii="Arial" w:hAnsi="Arial" w:cs="Arial"/>
        </w:rPr>
        <w:lastRenderedPageBreak/>
        <w:t>punktis 8 nõude aluseks olevate dokumentide all, kas üksnes krediidilepingut või ka info tehtud tagasimaksete ja arvutatud intresside ja viiviste kohta, mis iseenesest defineerivad ju nõude suuruse.</w:t>
      </w:r>
      <w:r w:rsidR="00453D71">
        <w:rPr>
          <w:rFonts w:ascii="Arial" w:hAnsi="Arial" w:cs="Arial"/>
        </w:rPr>
        <w:t xml:space="preserve"> Kolmandaks</w:t>
      </w:r>
      <w:r w:rsidR="00C73DE7">
        <w:rPr>
          <w:rFonts w:ascii="Arial" w:hAnsi="Arial" w:cs="Arial"/>
        </w:rPr>
        <w:t xml:space="preserve"> v</w:t>
      </w:r>
      <w:r w:rsidR="00453D71">
        <w:rPr>
          <w:rFonts w:ascii="Arial" w:hAnsi="Arial" w:cs="Arial"/>
        </w:rPr>
        <w:t xml:space="preserve">iitame, et kuna seaduse </w:t>
      </w:r>
      <w:r w:rsidR="00C73DE7">
        <w:rPr>
          <w:rFonts w:ascii="Arial" w:hAnsi="Arial" w:cs="Arial"/>
        </w:rPr>
        <w:t xml:space="preserve">eelnõu </w:t>
      </w:r>
      <w:r w:rsidR="00453D71">
        <w:rPr>
          <w:rFonts w:ascii="Arial" w:hAnsi="Arial" w:cs="Arial"/>
        </w:rPr>
        <w:t xml:space="preserve">kohaldamisalasse kuuluvad </w:t>
      </w:r>
      <w:r w:rsidR="00A25F81">
        <w:rPr>
          <w:rFonts w:ascii="Arial" w:hAnsi="Arial" w:cs="Arial"/>
        </w:rPr>
        <w:t xml:space="preserve">ka </w:t>
      </w:r>
      <w:r w:rsidR="00453D71">
        <w:rPr>
          <w:rFonts w:ascii="Arial" w:hAnsi="Arial" w:cs="Arial"/>
        </w:rPr>
        <w:t xml:space="preserve">ärilaenud siis need ei pruugi alluda Eesti õigusele ja Eesti krediidiasutuste praktika on väljastada laene </w:t>
      </w:r>
      <w:r w:rsidR="00AF15C4">
        <w:rPr>
          <w:rFonts w:ascii="Arial" w:hAnsi="Arial" w:cs="Arial"/>
        </w:rPr>
        <w:t xml:space="preserve">ka </w:t>
      </w:r>
      <w:r w:rsidR="00453D71">
        <w:rPr>
          <w:rFonts w:ascii="Arial" w:hAnsi="Arial" w:cs="Arial"/>
        </w:rPr>
        <w:t xml:space="preserve">teiste õiguste alusel. </w:t>
      </w:r>
    </w:p>
    <w:p w14:paraId="1CAE6263" w14:textId="77777777" w:rsidR="00171C64" w:rsidRPr="00DA37F0" w:rsidRDefault="00171C64" w:rsidP="00D203FC">
      <w:pPr>
        <w:spacing w:after="0"/>
        <w:jc w:val="both"/>
        <w:rPr>
          <w:rFonts w:ascii="Arial" w:hAnsi="Arial" w:cs="Arial"/>
          <w:b/>
          <w:bCs/>
        </w:rPr>
      </w:pPr>
    </w:p>
    <w:p w14:paraId="48C5FFEE" w14:textId="2266D71F" w:rsidR="00A95998" w:rsidRPr="00DA37F0" w:rsidRDefault="00A95998" w:rsidP="00D203FC">
      <w:pPr>
        <w:spacing w:after="0"/>
        <w:jc w:val="both"/>
        <w:rPr>
          <w:rFonts w:ascii="Arial" w:hAnsi="Arial" w:cs="Arial"/>
        </w:rPr>
      </w:pPr>
      <w:r w:rsidRPr="00DA37F0">
        <w:rPr>
          <w:rFonts w:ascii="Arial" w:hAnsi="Arial" w:cs="Arial"/>
          <w:b/>
          <w:bCs/>
        </w:rPr>
        <w:t>KAVS § 48 lg 5 p 7</w:t>
      </w:r>
      <w:r w:rsidRPr="00DA37F0">
        <w:rPr>
          <w:rFonts w:ascii="Arial" w:hAnsi="Arial" w:cs="Arial"/>
          <w:b/>
          <w:bCs/>
          <w:vertAlign w:val="superscript"/>
        </w:rPr>
        <w:t>1</w:t>
      </w:r>
      <w:r w:rsidRPr="00DA37F0">
        <w:rPr>
          <w:rFonts w:ascii="Arial" w:hAnsi="Arial" w:cs="Arial"/>
        </w:rPr>
        <w:t xml:space="preserve"> – arvestades tänapäevast muutunud infovahetuse liike, siis palume „kirjavahetus“ asendada „teabevahetus“</w:t>
      </w:r>
      <w:r w:rsidR="00D203FC" w:rsidRPr="00DA37F0">
        <w:rPr>
          <w:rFonts w:ascii="Arial" w:hAnsi="Arial" w:cs="Arial"/>
        </w:rPr>
        <w:t>.</w:t>
      </w:r>
    </w:p>
    <w:p w14:paraId="45F91376" w14:textId="77777777" w:rsidR="004B0634" w:rsidRPr="00AF15C4" w:rsidRDefault="004B0634" w:rsidP="00D203FC">
      <w:pPr>
        <w:spacing w:after="0"/>
        <w:jc w:val="both"/>
        <w:rPr>
          <w:rFonts w:ascii="Arial" w:hAnsi="Arial" w:cs="Arial"/>
          <w:b/>
          <w:bCs/>
        </w:rPr>
      </w:pPr>
    </w:p>
    <w:p w14:paraId="3BF71BF1" w14:textId="35EA3E06" w:rsidR="00B54914" w:rsidRPr="00AF15C4" w:rsidRDefault="00B54914" w:rsidP="00D203FC">
      <w:pPr>
        <w:spacing w:after="0"/>
        <w:jc w:val="both"/>
        <w:rPr>
          <w:rFonts w:ascii="Arial" w:hAnsi="Arial" w:cs="Arial"/>
        </w:rPr>
      </w:pPr>
      <w:r w:rsidRPr="00AF15C4">
        <w:rPr>
          <w:rFonts w:ascii="Arial" w:hAnsi="Arial" w:cs="Arial"/>
          <w:b/>
          <w:bCs/>
        </w:rPr>
        <w:t>KAVS</w:t>
      </w:r>
      <w:r w:rsidRPr="00AF15C4">
        <w:rPr>
          <w:rFonts w:ascii="Arial" w:hAnsi="Arial" w:cs="Arial"/>
        </w:rPr>
        <w:t xml:space="preserve"> </w:t>
      </w:r>
      <w:r w:rsidRPr="00AF15C4">
        <w:rPr>
          <w:rFonts w:ascii="Arial" w:hAnsi="Arial" w:cs="Arial"/>
          <w:b/>
          <w:bCs/>
        </w:rPr>
        <w:t>§ 49 lg 5</w:t>
      </w:r>
      <w:r w:rsidRPr="00AF15C4">
        <w:rPr>
          <w:rFonts w:ascii="Arial" w:hAnsi="Arial" w:cs="Arial"/>
          <w:b/>
          <w:bCs/>
          <w:vertAlign w:val="superscript"/>
        </w:rPr>
        <w:t>1</w:t>
      </w:r>
      <w:r w:rsidRPr="00AF15C4">
        <w:rPr>
          <w:rFonts w:ascii="Arial" w:hAnsi="Arial" w:cs="Arial"/>
          <w:b/>
          <w:bCs/>
        </w:rPr>
        <w:t xml:space="preserve"> – </w:t>
      </w:r>
      <w:r w:rsidR="00C94DD9" w:rsidRPr="00AF15C4">
        <w:rPr>
          <w:rFonts w:ascii="Arial" w:hAnsi="Arial" w:cs="Arial"/>
        </w:rPr>
        <w:t xml:space="preserve">kuivõrd muudatus puudutab </w:t>
      </w:r>
      <w:proofErr w:type="spellStart"/>
      <w:r w:rsidR="00C94DD9" w:rsidRPr="00AF15C4">
        <w:rPr>
          <w:rFonts w:ascii="Arial" w:hAnsi="Arial" w:cs="Arial"/>
        </w:rPr>
        <w:t>sise</w:t>
      </w:r>
      <w:proofErr w:type="spellEnd"/>
      <w:r w:rsidR="00C94DD9" w:rsidRPr="00AF15C4">
        <w:rPr>
          <w:rFonts w:ascii="Arial" w:hAnsi="Arial" w:cs="Arial"/>
        </w:rPr>
        <w:t>-eeskirju</w:t>
      </w:r>
      <w:r w:rsidR="007422DD" w:rsidRPr="00AF15C4">
        <w:rPr>
          <w:rFonts w:ascii="Arial" w:hAnsi="Arial" w:cs="Arial"/>
        </w:rPr>
        <w:t>, tundub loogilisem täiendada KAVS § 44 planeeritud täiendustega</w:t>
      </w:r>
      <w:r w:rsidR="003B7441" w:rsidRPr="00AF15C4">
        <w:rPr>
          <w:rFonts w:ascii="Arial" w:hAnsi="Arial" w:cs="Arial"/>
        </w:rPr>
        <w:t>.</w:t>
      </w:r>
      <w:r w:rsidR="008F496F">
        <w:rPr>
          <w:rFonts w:ascii="Arial" w:hAnsi="Arial" w:cs="Arial"/>
        </w:rPr>
        <w:t xml:space="preserve"> Täiendavalt sooviksid krediidiasutused pikemat tähtaega muudatuse jõustumiseks. </w:t>
      </w:r>
    </w:p>
    <w:p w14:paraId="372DA547" w14:textId="1374BD5B" w:rsidR="00AF15C4" w:rsidRPr="00AF15C4" w:rsidRDefault="00AF15C4" w:rsidP="00D203FC">
      <w:pPr>
        <w:spacing w:after="0"/>
        <w:jc w:val="both"/>
        <w:rPr>
          <w:rFonts w:ascii="Arial" w:hAnsi="Arial" w:cs="Arial"/>
        </w:rPr>
      </w:pPr>
    </w:p>
    <w:p w14:paraId="009118B7" w14:textId="2FA895CC" w:rsidR="00AF15C4" w:rsidRPr="00A25A57" w:rsidRDefault="00AF15C4" w:rsidP="00A25A57">
      <w:pPr>
        <w:jc w:val="both"/>
        <w:rPr>
          <w:rFonts w:ascii="Arial" w:eastAsia="Times New Roman" w:hAnsi="Arial" w:cs="Arial"/>
          <w:lang w:val="en-US"/>
        </w:rPr>
      </w:pPr>
      <w:r w:rsidRPr="00AF15C4">
        <w:rPr>
          <w:rFonts w:ascii="Arial" w:hAnsi="Arial" w:cs="Arial"/>
          <w:b/>
          <w:bCs/>
        </w:rPr>
        <w:t>KAVS</w:t>
      </w:r>
      <w:r w:rsidRPr="00AF15C4">
        <w:rPr>
          <w:rFonts w:ascii="Arial" w:hAnsi="Arial" w:cs="Arial"/>
        </w:rPr>
        <w:t xml:space="preserve"> </w:t>
      </w:r>
      <w:r w:rsidRPr="00AF15C4">
        <w:rPr>
          <w:rFonts w:ascii="Arial" w:hAnsi="Arial" w:cs="Arial"/>
          <w:b/>
          <w:bCs/>
        </w:rPr>
        <w:t>§ 57</w:t>
      </w:r>
      <w:r w:rsidRPr="00AF15C4">
        <w:rPr>
          <w:rFonts w:ascii="Arial" w:hAnsi="Arial" w:cs="Arial"/>
          <w:b/>
          <w:bCs/>
          <w:vertAlign w:val="superscript"/>
        </w:rPr>
        <w:t>1</w:t>
      </w:r>
      <w:r w:rsidRPr="00AF15C4">
        <w:rPr>
          <w:rFonts w:ascii="Arial" w:hAnsi="Arial" w:cs="Arial"/>
          <w:b/>
          <w:bCs/>
        </w:rPr>
        <w:t xml:space="preserve"> –</w:t>
      </w:r>
      <w:r w:rsidRPr="00A25A57">
        <w:rPr>
          <w:rFonts w:ascii="Arial" w:hAnsi="Arial" w:cs="Arial"/>
        </w:rPr>
        <w:t xml:space="preserve"> ettepanek </w:t>
      </w:r>
      <w:proofErr w:type="spellStart"/>
      <w:r>
        <w:rPr>
          <w:rFonts w:ascii="Arial" w:eastAsia="Times New Roman" w:hAnsi="Arial" w:cs="Arial"/>
          <w:lang w:val="en-US"/>
        </w:rPr>
        <w:t>t</w:t>
      </w:r>
      <w:r w:rsidRPr="00A25A57">
        <w:rPr>
          <w:rFonts w:ascii="Arial" w:eastAsia="Times New Roman" w:hAnsi="Arial" w:cs="Arial"/>
          <w:lang w:val="en-US"/>
        </w:rPr>
        <w:t>arbijakrediidist</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tulenevate</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võlanõuete</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krediidiostjatele</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loovutamisest</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Finantsinspektsiooni</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teavitamise</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kohustus</w:t>
      </w:r>
      <w:proofErr w:type="spellEnd"/>
      <w:r>
        <w:rPr>
          <w:rFonts w:ascii="Arial" w:eastAsia="Times New Roman" w:hAnsi="Arial" w:cs="Arial"/>
          <w:lang w:val="en-US"/>
        </w:rPr>
        <w:t xml:space="preserve"> </w:t>
      </w:r>
      <w:proofErr w:type="spellStart"/>
      <w:r>
        <w:rPr>
          <w:rFonts w:ascii="Arial" w:eastAsia="Times New Roman" w:hAnsi="Arial" w:cs="Arial"/>
          <w:lang w:val="en-US"/>
        </w:rPr>
        <w:t>sätestada</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poolaasta</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aruannete</w:t>
      </w:r>
      <w:proofErr w:type="spellEnd"/>
      <w:r w:rsidRPr="00A25A57">
        <w:rPr>
          <w:rFonts w:ascii="Arial" w:eastAsia="Times New Roman" w:hAnsi="Arial" w:cs="Arial"/>
          <w:lang w:val="en-US"/>
        </w:rPr>
        <w:t xml:space="preserve"> </w:t>
      </w:r>
      <w:proofErr w:type="spellStart"/>
      <w:r w:rsidRPr="00A25A57">
        <w:rPr>
          <w:rFonts w:ascii="Arial" w:eastAsia="Times New Roman" w:hAnsi="Arial" w:cs="Arial"/>
          <w:lang w:val="en-US"/>
        </w:rPr>
        <w:t>esitamise</w:t>
      </w:r>
      <w:proofErr w:type="spellEnd"/>
      <w:r w:rsidRPr="00A25A57">
        <w:rPr>
          <w:rFonts w:ascii="Arial" w:eastAsia="Times New Roman" w:hAnsi="Arial" w:cs="Arial"/>
          <w:lang w:val="en-US"/>
        </w:rPr>
        <w:t xml:space="preserve"> teel</w:t>
      </w:r>
      <w:r>
        <w:rPr>
          <w:rFonts w:ascii="Arial" w:eastAsia="Times New Roman" w:hAnsi="Arial" w:cs="Arial"/>
          <w:lang w:val="en-US"/>
        </w:rPr>
        <w:t>.</w:t>
      </w:r>
    </w:p>
    <w:p w14:paraId="631EDDCD" w14:textId="77777777" w:rsidR="007A14AB" w:rsidRPr="00AF15C4" w:rsidRDefault="007A14AB" w:rsidP="00D203FC">
      <w:pPr>
        <w:spacing w:after="0"/>
        <w:jc w:val="both"/>
        <w:rPr>
          <w:rFonts w:ascii="Arial" w:hAnsi="Arial" w:cs="Arial"/>
          <w:b/>
          <w:bCs/>
          <w:highlight w:val="yellow"/>
        </w:rPr>
      </w:pPr>
    </w:p>
    <w:p w14:paraId="11F7B7A2" w14:textId="774B918A" w:rsidR="00B54914" w:rsidRPr="00DA37F0" w:rsidRDefault="00B54914" w:rsidP="00D203FC">
      <w:pPr>
        <w:spacing w:after="0"/>
        <w:jc w:val="both"/>
        <w:rPr>
          <w:rFonts w:ascii="Arial" w:hAnsi="Arial" w:cs="Arial"/>
        </w:rPr>
      </w:pPr>
      <w:r w:rsidRPr="00AF15C4">
        <w:rPr>
          <w:rFonts w:ascii="Arial" w:hAnsi="Arial" w:cs="Arial"/>
          <w:b/>
          <w:bCs/>
        </w:rPr>
        <w:t>KAS § 88 lõiget 5</w:t>
      </w:r>
      <w:r w:rsidRPr="00AF15C4">
        <w:rPr>
          <w:rFonts w:ascii="Arial" w:hAnsi="Arial" w:cs="Arial"/>
        </w:rPr>
        <w:t xml:space="preserve"> täiendatakse lõikega 7</w:t>
      </w:r>
      <w:r w:rsidRPr="00AF15C4">
        <w:rPr>
          <w:rFonts w:ascii="Arial" w:hAnsi="Arial" w:cs="Arial"/>
          <w:vertAlign w:val="superscript"/>
        </w:rPr>
        <w:t>1</w:t>
      </w:r>
      <w:r w:rsidRPr="00AF15C4">
        <w:rPr>
          <w:rFonts w:ascii="Arial" w:hAnsi="Arial" w:cs="Arial"/>
        </w:rPr>
        <w:t xml:space="preserve"> – Statistikaametil</w:t>
      </w:r>
      <w:r w:rsidRPr="00DA37F0">
        <w:rPr>
          <w:rFonts w:ascii="Arial" w:hAnsi="Arial" w:cs="Arial"/>
        </w:rPr>
        <w:t xml:space="preserve"> </w:t>
      </w:r>
      <w:r w:rsidR="00A2485C" w:rsidRPr="00DA37F0">
        <w:rPr>
          <w:rFonts w:ascii="Arial" w:hAnsi="Arial" w:cs="Arial"/>
        </w:rPr>
        <w:t xml:space="preserve">on </w:t>
      </w:r>
      <w:r w:rsidRPr="00DA37F0">
        <w:rPr>
          <w:rFonts w:ascii="Arial" w:hAnsi="Arial" w:cs="Arial"/>
        </w:rPr>
        <w:t xml:space="preserve">õigus </w:t>
      </w:r>
      <w:r w:rsidR="003B7441" w:rsidRPr="00DA37F0">
        <w:rPr>
          <w:rFonts w:ascii="Arial" w:hAnsi="Arial" w:cs="Arial"/>
        </w:rPr>
        <w:t>saada</w:t>
      </w:r>
      <w:r w:rsidRPr="00DA37F0">
        <w:rPr>
          <w:rFonts w:ascii="Arial" w:hAnsi="Arial" w:cs="Arial"/>
        </w:rPr>
        <w:t xml:space="preserve"> </w:t>
      </w:r>
      <w:r w:rsidR="00A2485C" w:rsidRPr="00DA37F0">
        <w:rPr>
          <w:rFonts w:ascii="Arial" w:hAnsi="Arial" w:cs="Arial"/>
        </w:rPr>
        <w:t xml:space="preserve">infot, mis sisaldab </w:t>
      </w:r>
      <w:r w:rsidRPr="00DA37F0">
        <w:rPr>
          <w:rFonts w:ascii="Arial" w:hAnsi="Arial" w:cs="Arial"/>
        </w:rPr>
        <w:t xml:space="preserve">pangasaladust. </w:t>
      </w:r>
      <w:r w:rsidR="000C6633" w:rsidRPr="00DA37F0">
        <w:rPr>
          <w:rFonts w:ascii="Arial" w:hAnsi="Arial" w:cs="Arial"/>
        </w:rPr>
        <w:t xml:space="preserve">Kõikide selliste muudatustega kaasneb </w:t>
      </w:r>
      <w:r w:rsidR="00A2485C" w:rsidRPr="00DA37F0">
        <w:rPr>
          <w:rFonts w:ascii="Arial" w:hAnsi="Arial" w:cs="Arial"/>
        </w:rPr>
        <w:t xml:space="preserve">üldjuhul </w:t>
      </w:r>
      <w:r w:rsidR="000C6633" w:rsidRPr="00DA37F0">
        <w:rPr>
          <w:rFonts w:ascii="Arial" w:hAnsi="Arial" w:cs="Arial"/>
        </w:rPr>
        <w:t xml:space="preserve">krediidiasutustele </w:t>
      </w:r>
      <w:r w:rsidR="007D7E0A" w:rsidRPr="00DA37F0">
        <w:rPr>
          <w:rFonts w:ascii="Arial" w:hAnsi="Arial" w:cs="Arial"/>
        </w:rPr>
        <w:t xml:space="preserve">suur ja kulukas IT-arendus, palume täpsustada, milliseid andmeid </w:t>
      </w:r>
      <w:r w:rsidR="00A2485C" w:rsidRPr="00DA37F0">
        <w:rPr>
          <w:rFonts w:ascii="Arial" w:hAnsi="Arial" w:cs="Arial"/>
        </w:rPr>
        <w:t xml:space="preserve">on </w:t>
      </w:r>
      <w:r w:rsidR="007D7E0A" w:rsidRPr="00DA37F0">
        <w:rPr>
          <w:rFonts w:ascii="Arial" w:hAnsi="Arial" w:cs="Arial"/>
        </w:rPr>
        <w:t>täpsemalt mõeldud ja IT-tehniliste arenduste tarbeks vajame selle sätte jõustumiseks täiendavat aega +12 kuud</w:t>
      </w:r>
    </w:p>
    <w:p w14:paraId="74A67392" w14:textId="77777777" w:rsidR="007A14AB" w:rsidRPr="00DA37F0" w:rsidRDefault="007A14AB" w:rsidP="00D203FC">
      <w:pPr>
        <w:spacing w:after="0"/>
        <w:jc w:val="both"/>
        <w:rPr>
          <w:rFonts w:ascii="Arial" w:hAnsi="Arial" w:cs="Arial"/>
          <w:b/>
          <w:bCs/>
          <w:highlight w:val="yellow"/>
        </w:rPr>
      </w:pPr>
    </w:p>
    <w:p w14:paraId="674C757A" w14:textId="3635E813" w:rsidR="00B54914" w:rsidRPr="00E56581" w:rsidRDefault="00B54914" w:rsidP="00D203FC">
      <w:pPr>
        <w:spacing w:after="0"/>
        <w:jc w:val="both"/>
        <w:rPr>
          <w:rFonts w:ascii="Arial" w:hAnsi="Arial" w:cs="Arial"/>
        </w:rPr>
      </w:pPr>
      <w:r w:rsidRPr="00DA37F0">
        <w:rPr>
          <w:rFonts w:ascii="Arial" w:hAnsi="Arial" w:cs="Arial"/>
          <w:b/>
          <w:bCs/>
        </w:rPr>
        <w:t>VÕS § 404</w:t>
      </w:r>
      <w:r w:rsidRPr="00DA37F0">
        <w:rPr>
          <w:rFonts w:ascii="Arial" w:hAnsi="Arial" w:cs="Arial"/>
          <w:b/>
          <w:bCs/>
          <w:vertAlign w:val="superscript"/>
        </w:rPr>
        <w:t>2</w:t>
      </w:r>
      <w:r w:rsidRPr="00DA37F0">
        <w:rPr>
          <w:rFonts w:ascii="Arial" w:hAnsi="Arial" w:cs="Arial"/>
        </w:rPr>
        <w:t xml:space="preserve"> – </w:t>
      </w:r>
      <w:r w:rsidR="00C30642" w:rsidRPr="00DA37F0">
        <w:rPr>
          <w:rFonts w:ascii="Arial" w:hAnsi="Arial" w:cs="Arial"/>
        </w:rPr>
        <w:t xml:space="preserve">hetkel esitavad krediidiandjad tarbijalepingu muutmise juurde </w:t>
      </w:r>
      <w:r w:rsidRPr="00DA37F0">
        <w:rPr>
          <w:rFonts w:ascii="Arial" w:hAnsi="Arial" w:cs="Arial"/>
        </w:rPr>
        <w:t>teabelehe</w:t>
      </w:r>
      <w:r w:rsidR="00C30642" w:rsidRPr="00DA37F0">
        <w:rPr>
          <w:rFonts w:ascii="Arial" w:hAnsi="Arial" w:cs="Arial"/>
        </w:rPr>
        <w:t>, kus on osaliselt leitav eelnõu sättes viidatud info.</w:t>
      </w:r>
      <w:r w:rsidRPr="00DA37F0">
        <w:rPr>
          <w:rFonts w:ascii="Arial" w:hAnsi="Arial" w:cs="Arial"/>
        </w:rPr>
        <w:t xml:space="preserve"> </w:t>
      </w:r>
      <w:r w:rsidR="00C30642" w:rsidRPr="00DA37F0">
        <w:rPr>
          <w:rFonts w:ascii="Arial" w:hAnsi="Arial" w:cs="Arial"/>
        </w:rPr>
        <w:t xml:space="preserve">Tarbija „üle külvamine“ erineva infoga erinevates vormides tekitab tarbijas pigem segadust ja arusaamatust. </w:t>
      </w:r>
      <w:r w:rsidR="00920069" w:rsidRPr="00DA37F0">
        <w:rPr>
          <w:rFonts w:ascii="Arial" w:hAnsi="Arial" w:cs="Arial"/>
        </w:rPr>
        <w:t xml:space="preserve">Samuti tuleks täpsustada, kas vastav kohustus kehtib ka juhul, kui lepingutingimuste muutmine toimub tarbija algatusel või kohtuvälise ümberkujundamise raames. </w:t>
      </w:r>
      <w:r w:rsidR="00C30642" w:rsidRPr="00DA37F0">
        <w:rPr>
          <w:rFonts w:ascii="Arial" w:hAnsi="Arial" w:cs="Arial"/>
        </w:rPr>
        <w:t>Teeme ettepaneku, et krediidiandja kohustus on esitada tarbijale üldistatud</w:t>
      </w:r>
      <w:r w:rsidRPr="00DA37F0">
        <w:rPr>
          <w:rFonts w:ascii="Arial" w:hAnsi="Arial" w:cs="Arial"/>
        </w:rPr>
        <w:t xml:space="preserve"> kokkuvõtte muudatustest</w:t>
      </w:r>
      <w:r w:rsidR="00C30642" w:rsidRPr="00DA37F0">
        <w:rPr>
          <w:rFonts w:ascii="Arial" w:hAnsi="Arial" w:cs="Arial"/>
        </w:rPr>
        <w:t>. Lisaks kaasneb selle muudatuse elluviimisel</w:t>
      </w:r>
      <w:r w:rsidR="00A2485C" w:rsidRPr="00DA37F0">
        <w:rPr>
          <w:rFonts w:ascii="Arial" w:hAnsi="Arial" w:cs="Arial"/>
        </w:rPr>
        <w:t xml:space="preserve"> taas</w:t>
      </w:r>
      <w:r w:rsidR="00C30642" w:rsidRPr="00DA37F0">
        <w:rPr>
          <w:rFonts w:ascii="Arial" w:hAnsi="Arial" w:cs="Arial"/>
        </w:rPr>
        <w:t xml:space="preserve"> IT-tehnilised probleemid, sest automaatse protsessi jaoks on krediidiandjatel vaja pikemat ettevalmistusaega (seaduse </w:t>
      </w:r>
      <w:r w:rsidR="00C30642" w:rsidRPr="00E56581">
        <w:rPr>
          <w:rFonts w:ascii="Arial" w:hAnsi="Arial" w:cs="Arial"/>
        </w:rPr>
        <w:t>jõustumisest +12 kuud)</w:t>
      </w:r>
      <w:r w:rsidR="00A2485C" w:rsidRPr="00E56581">
        <w:rPr>
          <w:rFonts w:ascii="Arial" w:hAnsi="Arial" w:cs="Arial"/>
        </w:rPr>
        <w:t>.</w:t>
      </w:r>
      <w:r w:rsidR="00E56581" w:rsidRPr="00A25A57">
        <w:rPr>
          <w:rFonts w:ascii="Arial" w:hAnsi="Arial" w:cs="Arial"/>
          <w:lang w:val="en-US"/>
        </w:rPr>
        <w:t xml:space="preserve"> </w:t>
      </w:r>
      <w:proofErr w:type="spellStart"/>
      <w:r w:rsidR="00E56581" w:rsidRPr="00A25A57">
        <w:rPr>
          <w:rFonts w:ascii="Arial" w:hAnsi="Arial" w:cs="Arial"/>
          <w:lang w:val="en-US"/>
        </w:rPr>
        <w:t>Selguse</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huvides</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oleks</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tungivalt</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soovituslik</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seaduses</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täpsustada</w:t>
      </w:r>
      <w:proofErr w:type="spellEnd"/>
      <w:r w:rsidR="00E56581" w:rsidRPr="00A25A57">
        <w:rPr>
          <w:rFonts w:ascii="Arial" w:hAnsi="Arial" w:cs="Arial"/>
          <w:lang w:val="en-US"/>
        </w:rPr>
        <w:t xml:space="preserve">, et </w:t>
      </w:r>
      <w:proofErr w:type="spellStart"/>
      <w:r w:rsidR="00E56581" w:rsidRPr="00A25A57">
        <w:rPr>
          <w:rFonts w:ascii="Arial" w:hAnsi="Arial" w:cs="Arial"/>
          <w:lang w:val="en-US"/>
        </w:rPr>
        <w:t>antud</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säte</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ei</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kohaldu</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olukorras</w:t>
      </w:r>
      <w:proofErr w:type="spellEnd"/>
      <w:r w:rsidR="00E56581" w:rsidRPr="00A25A57">
        <w:rPr>
          <w:rFonts w:ascii="Arial" w:hAnsi="Arial" w:cs="Arial"/>
          <w:lang w:val="en-US"/>
        </w:rPr>
        <w:t xml:space="preserve">, mil </w:t>
      </w:r>
      <w:proofErr w:type="spellStart"/>
      <w:r w:rsidR="00E56581" w:rsidRPr="00A25A57">
        <w:rPr>
          <w:rFonts w:ascii="Arial" w:hAnsi="Arial" w:cs="Arial"/>
          <w:lang w:val="en-US"/>
        </w:rPr>
        <w:t>krediidiasutus</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muudab</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krediidilepingu</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üldtingimusi</w:t>
      </w:r>
      <w:proofErr w:type="spellEnd"/>
      <w:r w:rsidR="00E56581" w:rsidRPr="00A25A57">
        <w:rPr>
          <w:rFonts w:ascii="Arial" w:hAnsi="Arial" w:cs="Arial"/>
          <w:lang w:val="en-US"/>
        </w:rPr>
        <w:t xml:space="preserve"> VÕS § 43 </w:t>
      </w:r>
      <w:proofErr w:type="spellStart"/>
      <w:r w:rsidR="00E56581" w:rsidRPr="00A25A57">
        <w:rPr>
          <w:rFonts w:ascii="Arial" w:hAnsi="Arial" w:cs="Arial"/>
          <w:lang w:val="en-US"/>
        </w:rPr>
        <w:t>toodut</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tüüptingimuste</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muutmise</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erisuse</w:t>
      </w:r>
      <w:proofErr w:type="spellEnd"/>
      <w:r w:rsidR="00E56581" w:rsidRPr="00A25A57">
        <w:rPr>
          <w:rFonts w:ascii="Arial" w:hAnsi="Arial" w:cs="Arial"/>
          <w:lang w:val="en-US"/>
        </w:rPr>
        <w:t xml:space="preserve"> </w:t>
      </w:r>
      <w:proofErr w:type="spellStart"/>
      <w:r w:rsidR="00E56581" w:rsidRPr="00A25A57">
        <w:rPr>
          <w:rFonts w:ascii="Arial" w:hAnsi="Arial" w:cs="Arial"/>
          <w:lang w:val="en-US"/>
        </w:rPr>
        <w:t>alusel</w:t>
      </w:r>
      <w:proofErr w:type="spellEnd"/>
    </w:p>
    <w:p w14:paraId="6A912656" w14:textId="77777777" w:rsidR="007A14AB" w:rsidRPr="00DA37F0" w:rsidRDefault="007A14AB" w:rsidP="00D203FC">
      <w:pPr>
        <w:spacing w:after="0"/>
        <w:jc w:val="both"/>
        <w:rPr>
          <w:rFonts w:ascii="Arial" w:hAnsi="Arial" w:cs="Arial"/>
          <w:b/>
          <w:bCs/>
        </w:rPr>
      </w:pPr>
    </w:p>
    <w:p w14:paraId="7B43A8ED" w14:textId="1F862170" w:rsidR="00B54914" w:rsidRPr="00DA37F0" w:rsidRDefault="00B54914" w:rsidP="00D203FC">
      <w:pPr>
        <w:spacing w:after="0"/>
        <w:jc w:val="both"/>
        <w:rPr>
          <w:rFonts w:ascii="Arial" w:hAnsi="Arial" w:cs="Arial"/>
        </w:rPr>
      </w:pPr>
      <w:r w:rsidRPr="00DA37F0">
        <w:rPr>
          <w:rFonts w:ascii="Arial" w:hAnsi="Arial" w:cs="Arial"/>
          <w:b/>
          <w:bCs/>
        </w:rPr>
        <w:t>VÕS 4</w:t>
      </w:r>
      <w:r w:rsidR="003B7441" w:rsidRPr="00DA37F0">
        <w:rPr>
          <w:rFonts w:ascii="Arial" w:hAnsi="Arial" w:cs="Arial"/>
          <w:b/>
          <w:bCs/>
        </w:rPr>
        <w:t xml:space="preserve">08, 412, </w:t>
      </w:r>
      <w:r w:rsidRPr="00DA37F0">
        <w:rPr>
          <w:rFonts w:ascii="Arial" w:hAnsi="Arial" w:cs="Arial"/>
          <w:b/>
          <w:bCs/>
        </w:rPr>
        <w:t>415</w:t>
      </w:r>
      <w:r w:rsidRPr="00DA37F0">
        <w:rPr>
          <w:rFonts w:ascii="Arial" w:hAnsi="Arial" w:cs="Arial"/>
        </w:rPr>
        <w:t xml:space="preserve"> – </w:t>
      </w:r>
      <w:r w:rsidR="00A2485C" w:rsidRPr="00DA37F0">
        <w:rPr>
          <w:rFonts w:ascii="Arial" w:hAnsi="Arial" w:cs="Arial"/>
        </w:rPr>
        <w:t xml:space="preserve">nimetatud muudatused eelnõus kahjustavad </w:t>
      </w:r>
      <w:r w:rsidR="00CE0273" w:rsidRPr="00DA37F0">
        <w:rPr>
          <w:rFonts w:ascii="Arial" w:hAnsi="Arial" w:cs="Arial"/>
        </w:rPr>
        <w:t>krediidiandjaid</w:t>
      </w:r>
      <w:r w:rsidRPr="00DA37F0">
        <w:rPr>
          <w:rFonts w:ascii="Arial" w:hAnsi="Arial" w:cs="Arial"/>
        </w:rPr>
        <w:t>,</w:t>
      </w:r>
      <w:r w:rsidR="00A2485C" w:rsidRPr="00DA37F0">
        <w:rPr>
          <w:rFonts w:ascii="Arial" w:hAnsi="Arial" w:cs="Arial"/>
        </w:rPr>
        <w:t xml:space="preserve"> meie hinnangul on</w:t>
      </w:r>
      <w:r w:rsidRPr="00DA37F0">
        <w:rPr>
          <w:rFonts w:ascii="Arial" w:hAnsi="Arial" w:cs="Arial"/>
        </w:rPr>
        <w:t xml:space="preserve"> </w:t>
      </w:r>
      <w:r w:rsidR="00CE0273" w:rsidRPr="00DA37F0">
        <w:rPr>
          <w:rFonts w:ascii="Arial" w:hAnsi="Arial" w:cs="Arial"/>
        </w:rPr>
        <w:t xml:space="preserve">eelnõuga ette nähtud muudatused ebaproportsionaalselt krediidiandjate huve kahjustavad. </w:t>
      </w:r>
      <w:r w:rsidRPr="00DA37F0">
        <w:rPr>
          <w:rFonts w:ascii="Arial" w:hAnsi="Arial" w:cs="Arial"/>
        </w:rPr>
        <w:t>V</w:t>
      </w:r>
      <w:r w:rsidR="00326233" w:rsidRPr="00DA37F0">
        <w:rPr>
          <w:rFonts w:ascii="Arial" w:hAnsi="Arial" w:cs="Arial"/>
        </w:rPr>
        <w:t>ähendatud v</w:t>
      </w:r>
      <w:r w:rsidRPr="00DA37F0">
        <w:rPr>
          <w:rFonts w:ascii="Arial" w:hAnsi="Arial" w:cs="Arial"/>
        </w:rPr>
        <w:t xml:space="preserve">iivis ei motiveeri </w:t>
      </w:r>
      <w:r w:rsidR="00326233" w:rsidRPr="00DA37F0">
        <w:rPr>
          <w:rFonts w:ascii="Arial" w:hAnsi="Arial" w:cs="Arial"/>
        </w:rPr>
        <w:t>võlgnikku</w:t>
      </w:r>
      <w:r w:rsidRPr="00DA37F0">
        <w:rPr>
          <w:rFonts w:ascii="Arial" w:hAnsi="Arial" w:cs="Arial"/>
        </w:rPr>
        <w:t xml:space="preserve"> kohustust täitma, </w:t>
      </w:r>
      <w:r w:rsidR="00A2485C" w:rsidRPr="00DA37F0">
        <w:rPr>
          <w:rFonts w:ascii="Arial" w:hAnsi="Arial" w:cs="Arial"/>
        </w:rPr>
        <w:t xml:space="preserve">ja </w:t>
      </w:r>
      <w:r w:rsidR="00CE0273" w:rsidRPr="00DA37F0">
        <w:rPr>
          <w:rFonts w:ascii="Arial" w:hAnsi="Arial" w:cs="Arial"/>
        </w:rPr>
        <w:t>eelnõu</w:t>
      </w:r>
      <w:r w:rsidR="003B7441" w:rsidRPr="00DA37F0">
        <w:rPr>
          <w:rFonts w:ascii="Arial" w:hAnsi="Arial" w:cs="Arial"/>
        </w:rPr>
        <w:t xml:space="preserve"> §-s 415 lg 1 </w:t>
      </w:r>
      <w:r w:rsidR="00CE0273" w:rsidRPr="00DA37F0">
        <w:rPr>
          <w:rFonts w:ascii="Arial" w:hAnsi="Arial" w:cs="Arial"/>
        </w:rPr>
        <w:t xml:space="preserve"> välja toodud</w:t>
      </w:r>
      <w:r w:rsidRPr="00DA37F0">
        <w:rPr>
          <w:rFonts w:ascii="Arial" w:hAnsi="Arial" w:cs="Arial"/>
        </w:rPr>
        <w:t xml:space="preserve"> alternatiivi ei tohi</w:t>
      </w:r>
      <w:r w:rsidR="00A2485C" w:rsidRPr="00DA37F0">
        <w:rPr>
          <w:rFonts w:ascii="Arial" w:hAnsi="Arial" w:cs="Arial"/>
        </w:rPr>
        <w:t>ks</w:t>
      </w:r>
      <w:r w:rsidRPr="00DA37F0">
        <w:rPr>
          <w:rFonts w:ascii="Arial" w:hAnsi="Arial" w:cs="Arial"/>
        </w:rPr>
        <w:t xml:space="preserve"> kohaldada. </w:t>
      </w:r>
      <w:r w:rsidR="00CE0273" w:rsidRPr="00DA37F0">
        <w:rPr>
          <w:rFonts w:ascii="Arial" w:hAnsi="Arial" w:cs="Arial"/>
        </w:rPr>
        <w:t xml:space="preserve">Teeme ettepaneku </w:t>
      </w:r>
      <w:r w:rsidR="005A78DE" w:rsidRPr="00DA37F0">
        <w:rPr>
          <w:rFonts w:ascii="Arial" w:hAnsi="Arial" w:cs="Arial"/>
        </w:rPr>
        <w:t>säilitada krediidiandja õigus nõuda tarbijalt viivist ületava kahju hüvitamist</w:t>
      </w:r>
      <w:r w:rsidR="00D26FD9">
        <w:rPr>
          <w:rFonts w:ascii="Arial" w:hAnsi="Arial" w:cs="Arial"/>
        </w:rPr>
        <w:t xml:space="preserve"> ja senine intressimäär</w:t>
      </w:r>
      <w:r w:rsidR="005A78DE" w:rsidRPr="00DA37F0">
        <w:rPr>
          <w:rFonts w:ascii="Arial" w:hAnsi="Arial" w:cs="Arial"/>
        </w:rPr>
        <w:t>.</w:t>
      </w:r>
      <w:r w:rsidR="00CE0273" w:rsidRPr="00DA37F0">
        <w:rPr>
          <w:rFonts w:ascii="Arial" w:hAnsi="Arial" w:cs="Arial"/>
        </w:rPr>
        <w:t xml:space="preserve"> </w:t>
      </w:r>
    </w:p>
    <w:p w14:paraId="618BD91B" w14:textId="77777777" w:rsidR="00B54914" w:rsidRPr="00DA37F0" w:rsidRDefault="00B54914" w:rsidP="00D203FC">
      <w:pPr>
        <w:spacing w:after="0"/>
        <w:jc w:val="both"/>
        <w:rPr>
          <w:rFonts w:ascii="Arial" w:hAnsi="Arial" w:cs="Arial"/>
          <w:b/>
          <w:bCs/>
        </w:rPr>
      </w:pPr>
    </w:p>
    <w:p w14:paraId="1182A9A3" w14:textId="0D9D1ED5" w:rsidR="00F00922" w:rsidRPr="00DA37F0" w:rsidRDefault="001A61F7" w:rsidP="00D203FC">
      <w:pPr>
        <w:spacing w:after="0"/>
        <w:jc w:val="both"/>
        <w:rPr>
          <w:rFonts w:ascii="Arial" w:hAnsi="Arial" w:cs="Arial"/>
          <w:b/>
          <w:bCs/>
        </w:rPr>
      </w:pPr>
      <w:r w:rsidRPr="00DA37F0">
        <w:rPr>
          <w:rFonts w:ascii="Arial" w:hAnsi="Arial" w:cs="Arial"/>
          <w:b/>
          <w:bCs/>
        </w:rPr>
        <w:t>VÕS § 416.  Tarbijakrediidilepingu ülesütlemise piirangud</w:t>
      </w:r>
    </w:p>
    <w:p w14:paraId="2BDA7ACB" w14:textId="43ADD340" w:rsidR="00C7093F" w:rsidRPr="00DA37F0" w:rsidRDefault="00C7093F" w:rsidP="00D203FC">
      <w:pPr>
        <w:pStyle w:val="ListParagraph"/>
        <w:numPr>
          <w:ilvl w:val="0"/>
          <w:numId w:val="1"/>
        </w:numPr>
        <w:spacing w:after="0"/>
        <w:jc w:val="both"/>
        <w:rPr>
          <w:rFonts w:ascii="Arial" w:hAnsi="Arial" w:cs="Arial"/>
          <w:u w:val="single"/>
        </w:rPr>
      </w:pPr>
      <w:r w:rsidRPr="00DA37F0">
        <w:rPr>
          <w:rFonts w:ascii="Arial" w:hAnsi="Arial" w:cs="Arial"/>
        </w:rPr>
        <w:t xml:space="preserve">VÕS § 416 lg 2 täiendamine sõnadega „enne võla sundtäitmiseks toimingute alustamist“ </w:t>
      </w:r>
      <w:r w:rsidR="00DD018A" w:rsidRPr="00DA37F0">
        <w:rPr>
          <w:rFonts w:ascii="Arial" w:hAnsi="Arial" w:cs="Arial"/>
        </w:rPr>
        <w:t xml:space="preserve">mõte on ebaselge, sest lg 2 viitab </w:t>
      </w:r>
      <w:proofErr w:type="spellStart"/>
      <w:r w:rsidR="00DD018A" w:rsidRPr="00DA37F0">
        <w:rPr>
          <w:rFonts w:ascii="Arial" w:hAnsi="Arial" w:cs="Arial"/>
        </w:rPr>
        <w:t>lg-le</w:t>
      </w:r>
      <w:proofErr w:type="spellEnd"/>
      <w:r w:rsidR="00DD018A" w:rsidRPr="00DA37F0">
        <w:rPr>
          <w:rFonts w:ascii="Arial" w:hAnsi="Arial" w:cs="Arial"/>
        </w:rPr>
        <w:t xml:space="preserve"> 1, mis </w:t>
      </w:r>
      <w:r w:rsidR="00F00922" w:rsidRPr="00DA37F0">
        <w:rPr>
          <w:rFonts w:ascii="Arial" w:hAnsi="Arial" w:cs="Arial"/>
        </w:rPr>
        <w:t>sätestab</w:t>
      </w:r>
      <w:r w:rsidR="00DD018A" w:rsidRPr="00DA37F0">
        <w:rPr>
          <w:rFonts w:ascii="Arial" w:hAnsi="Arial" w:cs="Arial"/>
        </w:rPr>
        <w:t xml:space="preserve"> lepingu </w:t>
      </w:r>
      <w:r w:rsidR="00DD018A" w:rsidRPr="00DA37F0">
        <w:rPr>
          <w:rFonts w:ascii="Arial" w:hAnsi="Arial" w:cs="Arial"/>
          <w:u w:val="single"/>
        </w:rPr>
        <w:t>ülesütlemise</w:t>
      </w:r>
      <w:r w:rsidR="00F00922" w:rsidRPr="00DA37F0">
        <w:rPr>
          <w:rFonts w:ascii="Arial" w:hAnsi="Arial" w:cs="Arial"/>
        </w:rPr>
        <w:t xml:space="preserve"> reeglid</w:t>
      </w:r>
      <w:r w:rsidR="009D046B" w:rsidRPr="00DA37F0">
        <w:rPr>
          <w:rFonts w:ascii="Arial" w:hAnsi="Arial" w:cs="Arial"/>
        </w:rPr>
        <w:t xml:space="preserve"> ja</w:t>
      </w:r>
      <w:r w:rsidR="00DD018A" w:rsidRPr="00DA37F0">
        <w:rPr>
          <w:rFonts w:ascii="Arial" w:hAnsi="Arial" w:cs="Arial"/>
        </w:rPr>
        <w:t xml:space="preserve"> </w:t>
      </w:r>
      <w:r w:rsidR="009D046B" w:rsidRPr="00DA37F0">
        <w:rPr>
          <w:rFonts w:ascii="Arial" w:hAnsi="Arial" w:cs="Arial"/>
        </w:rPr>
        <w:t>k</w:t>
      </w:r>
      <w:r w:rsidR="00DD018A" w:rsidRPr="00DA37F0">
        <w:rPr>
          <w:rFonts w:ascii="Arial" w:hAnsi="Arial" w:cs="Arial"/>
        </w:rPr>
        <w:t>una</w:t>
      </w:r>
      <w:r w:rsidR="00F74A3B" w:rsidRPr="00DA37F0">
        <w:rPr>
          <w:rFonts w:ascii="Arial" w:hAnsi="Arial" w:cs="Arial"/>
        </w:rPr>
        <w:t xml:space="preserve"> üldjuhul</w:t>
      </w:r>
      <w:r w:rsidR="00DD018A" w:rsidRPr="00DA37F0">
        <w:rPr>
          <w:rFonts w:ascii="Arial" w:hAnsi="Arial" w:cs="Arial"/>
        </w:rPr>
        <w:t xml:space="preserve"> enne lepingu ülesütlemist ei saa alustada sundtäitmiseks vajalike toimingutega, </w:t>
      </w:r>
      <w:r w:rsidR="009D046B" w:rsidRPr="00DA37F0">
        <w:rPr>
          <w:rFonts w:ascii="Arial" w:hAnsi="Arial" w:cs="Arial"/>
        </w:rPr>
        <w:t>ei ole aru saada</w:t>
      </w:r>
      <w:r w:rsidR="00DD018A" w:rsidRPr="00DA37F0">
        <w:rPr>
          <w:rFonts w:ascii="Arial" w:hAnsi="Arial" w:cs="Arial"/>
        </w:rPr>
        <w:t xml:space="preserve">, mida täiendusega tahetakse öelda/muuta. </w:t>
      </w:r>
      <w:r w:rsidR="00110A18" w:rsidRPr="00DA37F0">
        <w:rPr>
          <w:rFonts w:ascii="Arial" w:hAnsi="Arial" w:cs="Arial"/>
        </w:rPr>
        <w:t>Hetkel kehtiv lg 2 sõnastus on piisav ja arusaadav ning selle täiendamiseks eelnõus toodud kujul puudub vajadus. Selline muudatus tekitab vaid segadust.</w:t>
      </w:r>
    </w:p>
    <w:p w14:paraId="6ACBEC35" w14:textId="3A69AEA3" w:rsidR="00A95998" w:rsidRPr="00DA37F0" w:rsidRDefault="00F74A3B" w:rsidP="00D203FC">
      <w:pPr>
        <w:pStyle w:val="ListParagraph"/>
        <w:numPr>
          <w:ilvl w:val="0"/>
          <w:numId w:val="1"/>
        </w:numPr>
        <w:spacing w:after="0"/>
        <w:jc w:val="both"/>
        <w:rPr>
          <w:rFonts w:ascii="Arial" w:hAnsi="Arial" w:cs="Arial"/>
          <w:u w:val="single"/>
        </w:rPr>
      </w:pPr>
      <w:r w:rsidRPr="00DA37F0">
        <w:rPr>
          <w:rFonts w:ascii="Arial" w:hAnsi="Arial" w:cs="Arial"/>
        </w:rPr>
        <w:t>Teeme e</w:t>
      </w:r>
      <w:r w:rsidR="00DD018A" w:rsidRPr="00DA37F0">
        <w:rPr>
          <w:rFonts w:ascii="Arial" w:hAnsi="Arial" w:cs="Arial"/>
        </w:rPr>
        <w:t>ttepanek</w:t>
      </w:r>
      <w:r w:rsidRPr="00DA37F0">
        <w:rPr>
          <w:rFonts w:ascii="Arial" w:hAnsi="Arial" w:cs="Arial"/>
        </w:rPr>
        <w:t>u</w:t>
      </w:r>
      <w:r w:rsidR="00DD018A" w:rsidRPr="00DA37F0">
        <w:rPr>
          <w:rFonts w:ascii="Arial" w:hAnsi="Arial" w:cs="Arial"/>
        </w:rPr>
        <w:t xml:space="preserve"> mitte lisada VÕS § 416 lg 2 lõppu ümberkujundamise</w:t>
      </w:r>
      <w:r w:rsidR="00110A18" w:rsidRPr="00DA37F0">
        <w:rPr>
          <w:rFonts w:ascii="Arial" w:hAnsi="Arial" w:cs="Arial"/>
        </w:rPr>
        <w:t>/refinantseerimise</w:t>
      </w:r>
      <w:r w:rsidR="00DD018A" w:rsidRPr="00DA37F0">
        <w:rPr>
          <w:rFonts w:ascii="Arial" w:hAnsi="Arial" w:cs="Arial"/>
        </w:rPr>
        <w:t xml:space="preserve"> osa, sest </w:t>
      </w:r>
      <w:r w:rsidRPr="00DA37F0">
        <w:rPr>
          <w:rFonts w:ascii="Arial" w:hAnsi="Arial" w:cs="Arial"/>
        </w:rPr>
        <w:t xml:space="preserve">eelnõu ja </w:t>
      </w:r>
      <w:r w:rsidR="00D02CB6" w:rsidRPr="00DA37F0">
        <w:rPr>
          <w:rFonts w:ascii="Arial" w:hAnsi="Arial" w:cs="Arial"/>
        </w:rPr>
        <w:t xml:space="preserve">seletuskirja kohaselt ei ole </w:t>
      </w:r>
      <w:r w:rsidR="00DD018A" w:rsidRPr="00DA37F0">
        <w:rPr>
          <w:rFonts w:ascii="Arial" w:hAnsi="Arial" w:cs="Arial"/>
        </w:rPr>
        <w:t>tegemist kohustusega, vaid võimalusega</w:t>
      </w:r>
      <w:r w:rsidR="00D02CB6" w:rsidRPr="00DA37F0">
        <w:rPr>
          <w:rFonts w:ascii="Arial" w:hAnsi="Arial" w:cs="Arial"/>
        </w:rPr>
        <w:t>, mis selgub ka sätte sõnastusest</w:t>
      </w:r>
      <w:r w:rsidR="00110A18" w:rsidRPr="00DA37F0">
        <w:rPr>
          <w:rFonts w:ascii="Arial" w:hAnsi="Arial" w:cs="Arial"/>
        </w:rPr>
        <w:t xml:space="preserve"> („sealhulgas asjakohasel juhul“)</w:t>
      </w:r>
      <w:r w:rsidR="009D046B" w:rsidRPr="00DA37F0">
        <w:rPr>
          <w:rFonts w:ascii="Arial" w:hAnsi="Arial" w:cs="Arial"/>
        </w:rPr>
        <w:t>.</w:t>
      </w:r>
      <w:r w:rsidR="00D02CB6" w:rsidRPr="00DA37F0">
        <w:rPr>
          <w:rFonts w:ascii="Arial" w:hAnsi="Arial" w:cs="Arial"/>
        </w:rPr>
        <w:t xml:space="preserve"> </w:t>
      </w:r>
      <w:r w:rsidR="009D046B" w:rsidRPr="00DA37F0">
        <w:rPr>
          <w:rFonts w:ascii="Arial" w:hAnsi="Arial" w:cs="Arial"/>
        </w:rPr>
        <w:t>Seetõttu</w:t>
      </w:r>
      <w:r w:rsidR="00D02CB6" w:rsidRPr="00DA37F0">
        <w:rPr>
          <w:rFonts w:ascii="Arial" w:hAnsi="Arial" w:cs="Arial"/>
        </w:rPr>
        <w:t xml:space="preserve"> on see ebavajalik, sest läbirääkimiste korral on pooltel </w:t>
      </w:r>
      <w:r w:rsidR="00D02CB6" w:rsidRPr="00DA37F0">
        <w:rPr>
          <w:rFonts w:ascii="Arial" w:hAnsi="Arial" w:cs="Arial"/>
        </w:rPr>
        <w:lastRenderedPageBreak/>
        <w:t>nagunii kõik võimalused kokkuleppe saavutamiseks, s.h võla ümberkujundamiseks või refinantseerimiseks. Sellest tulenevalt on tegemist ebavajaliku täiendusega, mis võib tekitada vaid vaidlusi selle üle, kas ümberkujundamise või refinantseerimise ettepanek oleks tulnud teha või mitte</w:t>
      </w:r>
      <w:r w:rsidR="00F00922" w:rsidRPr="00DA37F0">
        <w:rPr>
          <w:rFonts w:ascii="Arial" w:hAnsi="Arial" w:cs="Arial"/>
        </w:rPr>
        <w:t xml:space="preserve">, </w:t>
      </w:r>
      <w:r w:rsidR="009D046B" w:rsidRPr="00DA37F0">
        <w:rPr>
          <w:rFonts w:ascii="Arial" w:hAnsi="Arial" w:cs="Arial"/>
        </w:rPr>
        <w:t>sest sätte sõnastuses on märgitud „sealhulgas asjakohasel juhul..“</w:t>
      </w:r>
      <w:r w:rsidR="00F00922" w:rsidRPr="00DA37F0">
        <w:rPr>
          <w:rFonts w:ascii="Arial" w:hAnsi="Arial" w:cs="Arial"/>
        </w:rPr>
        <w:t xml:space="preserve"> (millal see on asjakohane ja millal mitte, on lahtine)</w:t>
      </w:r>
      <w:r w:rsidR="00D02CB6" w:rsidRPr="00DA37F0">
        <w:rPr>
          <w:rFonts w:ascii="Arial" w:hAnsi="Arial" w:cs="Arial"/>
        </w:rPr>
        <w:t xml:space="preserve"> ja see </w:t>
      </w:r>
      <w:r w:rsidR="009D046B" w:rsidRPr="00DA37F0">
        <w:rPr>
          <w:rFonts w:ascii="Arial" w:hAnsi="Arial" w:cs="Arial"/>
        </w:rPr>
        <w:t xml:space="preserve">omakorda </w:t>
      </w:r>
      <w:r w:rsidR="00D02CB6" w:rsidRPr="00DA37F0">
        <w:rPr>
          <w:rFonts w:ascii="Arial" w:hAnsi="Arial" w:cs="Arial"/>
        </w:rPr>
        <w:t xml:space="preserve">tekitab põhjendamatuid vaidluseid lepingu ülesütlemise kehtivuse osas. </w:t>
      </w:r>
    </w:p>
    <w:p w14:paraId="3EFE2290" w14:textId="589212A4" w:rsidR="00171C64" w:rsidRPr="00DA37F0" w:rsidRDefault="00171C64" w:rsidP="00171C64">
      <w:pPr>
        <w:pStyle w:val="ListParagraph"/>
        <w:numPr>
          <w:ilvl w:val="0"/>
          <w:numId w:val="1"/>
        </w:numPr>
        <w:spacing w:after="0"/>
        <w:jc w:val="both"/>
        <w:rPr>
          <w:rFonts w:ascii="Arial" w:hAnsi="Arial" w:cs="Arial"/>
          <w:u w:val="single"/>
        </w:rPr>
      </w:pPr>
      <w:r w:rsidRPr="00DA37F0">
        <w:rPr>
          <w:rFonts w:ascii="Arial" w:hAnsi="Arial" w:cs="Arial"/>
        </w:rPr>
        <w:t xml:space="preserve">Vajalik oleks </w:t>
      </w:r>
      <w:r w:rsidR="00743DDD" w:rsidRPr="00DA37F0">
        <w:rPr>
          <w:rFonts w:ascii="Arial" w:hAnsi="Arial" w:cs="Arial"/>
        </w:rPr>
        <w:t xml:space="preserve">vee ka </w:t>
      </w:r>
      <w:r w:rsidRPr="00DA37F0">
        <w:rPr>
          <w:rFonts w:ascii="Arial" w:hAnsi="Arial" w:cs="Arial"/>
        </w:rPr>
        <w:t xml:space="preserve">kindlasti täpsustada, millistele kriteeriumitele tuginedes saab pidada „tõenäoliseks“, et tarbija suudab oma kohustusi täita. Vastavad suunised peaksid olema ühetaoliselt kohaldatavad kõikidele krediidiandjatele ning koos seaduse kehtima hakkamisega. Lisaks </w:t>
      </w:r>
      <w:r w:rsidR="00743DDD" w:rsidRPr="00DA37F0">
        <w:rPr>
          <w:rFonts w:ascii="Arial" w:hAnsi="Arial" w:cs="Arial"/>
        </w:rPr>
        <w:t xml:space="preserve">on </w:t>
      </w:r>
      <w:r w:rsidRPr="00DA37F0">
        <w:rPr>
          <w:rFonts w:ascii="Arial" w:hAnsi="Arial" w:cs="Arial"/>
        </w:rPr>
        <w:t xml:space="preserve">seletuskirjas toodud, et tuleb silmas pidada, et ümberkujundamise meetme pakkumine ei tekita krediidiandjale täiendavat kohustust hinnata tarbija krediidivõimelisust. Jääb ebaselgeks, kuidas see </w:t>
      </w:r>
      <w:proofErr w:type="spellStart"/>
      <w:r w:rsidRPr="00DA37F0">
        <w:rPr>
          <w:rFonts w:ascii="Arial" w:hAnsi="Arial" w:cs="Arial"/>
        </w:rPr>
        <w:t>suhestub</w:t>
      </w:r>
      <w:proofErr w:type="spellEnd"/>
      <w:r w:rsidRPr="00DA37F0">
        <w:rPr>
          <w:rFonts w:ascii="Arial" w:hAnsi="Arial" w:cs="Arial"/>
        </w:rPr>
        <w:t xml:space="preserve"> EBA viivisnõuete makseraskuste tõttu rekonstrueeritud nõuete haldamise kohta käivate suuniste punktiga 140, mille kohaselt peaksid krediidiasutused enne makseraskuste tõttu restruktureerimise meetmete rakendamist hindama laenuvõtja tagasimaksevõimet.</w:t>
      </w:r>
    </w:p>
    <w:p w14:paraId="0346ABF8" w14:textId="77777777" w:rsidR="00171C64" w:rsidRPr="00DA37F0" w:rsidRDefault="00171C64" w:rsidP="00171C64">
      <w:pPr>
        <w:spacing w:after="0"/>
        <w:jc w:val="both"/>
        <w:rPr>
          <w:rFonts w:ascii="Arial" w:hAnsi="Arial" w:cs="Arial"/>
          <w:highlight w:val="yellow"/>
          <w:u w:val="single"/>
        </w:rPr>
      </w:pPr>
    </w:p>
    <w:p w14:paraId="69BA5CF1" w14:textId="2ADAC4CE" w:rsidR="00245D6A" w:rsidRPr="00DA37F0" w:rsidRDefault="00245D6A" w:rsidP="00D203FC">
      <w:pPr>
        <w:spacing w:after="0"/>
        <w:jc w:val="both"/>
        <w:rPr>
          <w:rFonts w:ascii="Arial" w:hAnsi="Arial" w:cs="Arial"/>
          <w:b/>
          <w:bCs/>
        </w:rPr>
      </w:pPr>
      <w:r w:rsidRPr="00DA37F0">
        <w:rPr>
          <w:rFonts w:ascii="Arial" w:hAnsi="Arial" w:cs="Arial"/>
          <w:b/>
          <w:bCs/>
        </w:rPr>
        <w:t>VÕS 416</w:t>
      </w:r>
      <w:r w:rsidRPr="00DA37F0">
        <w:rPr>
          <w:rFonts w:ascii="Arial" w:hAnsi="Arial" w:cs="Arial"/>
          <w:b/>
          <w:bCs/>
          <w:vertAlign w:val="superscript"/>
        </w:rPr>
        <w:t>1</w:t>
      </w:r>
      <w:r w:rsidRPr="00DA37F0">
        <w:rPr>
          <w:rFonts w:ascii="Arial" w:hAnsi="Arial" w:cs="Arial"/>
          <w:b/>
          <w:bCs/>
        </w:rPr>
        <w:t xml:space="preserve"> - Tarbijakrediidilepingu kohtuväline ümberkujundamine</w:t>
      </w:r>
    </w:p>
    <w:p w14:paraId="25BCC989" w14:textId="4964EB65" w:rsidR="00245D6A" w:rsidRPr="00DA37F0" w:rsidRDefault="004F306F" w:rsidP="00D203FC">
      <w:pPr>
        <w:spacing w:after="0"/>
        <w:jc w:val="both"/>
        <w:rPr>
          <w:rFonts w:ascii="Arial" w:hAnsi="Arial" w:cs="Arial"/>
        </w:rPr>
      </w:pPr>
      <w:r w:rsidRPr="00DA37F0">
        <w:rPr>
          <w:rFonts w:ascii="Arial" w:hAnsi="Arial" w:cs="Arial"/>
        </w:rPr>
        <w:t xml:space="preserve">Lg 2 p 4 sätestab ühe võla ümberkujundamise abinõuna: </w:t>
      </w:r>
      <w:r w:rsidRPr="00DA37F0">
        <w:rPr>
          <w:rFonts w:ascii="Arial" w:hAnsi="Arial" w:cs="Arial"/>
          <w:i/>
          <w:iCs/>
        </w:rPr>
        <w:t xml:space="preserve">võlast osaliselt loobumiseks </w:t>
      </w:r>
      <w:r w:rsidR="00D203FC" w:rsidRPr="00DA37F0">
        <w:rPr>
          <w:rFonts w:ascii="Arial" w:hAnsi="Arial" w:cs="Arial"/>
          <w:b/>
          <w:bCs/>
          <w:i/>
          <w:iCs/>
        </w:rPr>
        <w:t>JA</w:t>
      </w:r>
      <w:r w:rsidRPr="00DA37F0">
        <w:rPr>
          <w:rFonts w:ascii="Arial" w:hAnsi="Arial" w:cs="Arial"/>
          <w:i/>
          <w:iCs/>
        </w:rPr>
        <w:t xml:space="preserve"> erinevatest tarbijakrediidilepingutest tulenevate võlgade summeerimiseks</w:t>
      </w:r>
      <w:r w:rsidRPr="00DA37F0">
        <w:rPr>
          <w:rFonts w:ascii="Arial" w:hAnsi="Arial" w:cs="Arial"/>
        </w:rPr>
        <w:t>. Kuna sisult on tegemist 2 erineva abinõuga, mida saab rakendada ka eraldi, siis peaks „ja“ asemel kasuta</w:t>
      </w:r>
      <w:r w:rsidR="00D203FC" w:rsidRPr="00DA37F0">
        <w:rPr>
          <w:rFonts w:ascii="Arial" w:hAnsi="Arial" w:cs="Arial"/>
        </w:rPr>
        <w:t>m</w:t>
      </w:r>
      <w:r w:rsidRPr="00DA37F0">
        <w:rPr>
          <w:rFonts w:ascii="Arial" w:hAnsi="Arial" w:cs="Arial"/>
        </w:rPr>
        <w:t>a „või“, alternatiivselt võib lg 2 loetellu lisada nimetatud abinõud eraldi punktidena.</w:t>
      </w:r>
    </w:p>
    <w:p w14:paraId="621972E2" w14:textId="6A2C5ABB" w:rsidR="004F306F" w:rsidRPr="00456A02" w:rsidRDefault="004F306F" w:rsidP="00D203FC">
      <w:pPr>
        <w:spacing w:after="0"/>
        <w:jc w:val="both"/>
        <w:rPr>
          <w:rFonts w:ascii="Arial" w:hAnsi="Arial" w:cs="Arial"/>
          <w:highlight w:val="yellow"/>
        </w:rPr>
      </w:pPr>
      <w:r w:rsidRPr="00DA37F0">
        <w:rPr>
          <w:rFonts w:ascii="Arial" w:hAnsi="Arial" w:cs="Arial"/>
        </w:rPr>
        <w:t xml:space="preserve">Lg 3 kohustab võla ümberkujundamise kokkuleppes ära nimetama </w:t>
      </w:r>
      <w:r w:rsidRPr="00DA37F0">
        <w:rPr>
          <w:rFonts w:ascii="Arial" w:hAnsi="Arial" w:cs="Arial"/>
          <w:u w:val="single"/>
        </w:rPr>
        <w:t>esialgse</w:t>
      </w:r>
      <w:r w:rsidRPr="00DA37F0">
        <w:rPr>
          <w:rFonts w:ascii="Arial" w:hAnsi="Arial" w:cs="Arial"/>
        </w:rPr>
        <w:t xml:space="preserve"> krediidisumma jm tasude arvestuse. Viidatud säte on meie hinnangul ebavajalik ja teatud juhtudel muudab kokkuleppe raskesti jälgitavaks ja võib tekitada laenusaajas segadust. Praktikas võime tuua näite, kus kokkuleppes tuleks üles loetleda esialgsete laenusummadega 10 erinevat kohustust. Teeme ettepaneku, et </w:t>
      </w:r>
      <w:r w:rsidR="00C94DD9" w:rsidRPr="00DA37F0">
        <w:rPr>
          <w:rFonts w:ascii="Arial" w:hAnsi="Arial" w:cs="Arial"/>
        </w:rPr>
        <w:t xml:space="preserve">kokkuleppes peab sisalduma info ümberkujundatavate kohustuste kohta </w:t>
      </w:r>
      <w:r w:rsidR="00C94DD9" w:rsidRPr="00456A02">
        <w:rPr>
          <w:rFonts w:ascii="Arial" w:hAnsi="Arial" w:cs="Arial"/>
        </w:rPr>
        <w:t>üldistatul ja koondatud kujul.</w:t>
      </w:r>
      <w:r w:rsidR="00456A02" w:rsidRPr="00456A02">
        <w:rPr>
          <w:rFonts w:ascii="Arial" w:hAnsi="Arial" w:cs="Arial"/>
        </w:rPr>
        <w:t xml:space="preserve"> </w:t>
      </w:r>
      <w:proofErr w:type="spellStart"/>
      <w:r w:rsidR="00456A02" w:rsidRPr="00456A02">
        <w:rPr>
          <w:rFonts w:ascii="Arial" w:hAnsi="Arial" w:cs="Arial"/>
          <w:lang w:val="en-US"/>
        </w:rPr>
        <w:t>Tekib</w:t>
      </w:r>
      <w:proofErr w:type="spellEnd"/>
      <w:r w:rsidR="00456A02" w:rsidRPr="00456A02">
        <w:rPr>
          <w:rFonts w:ascii="Arial" w:hAnsi="Arial" w:cs="Arial"/>
          <w:lang w:val="en-US"/>
        </w:rPr>
        <w:t xml:space="preserve"> ka </w:t>
      </w:r>
      <w:proofErr w:type="spellStart"/>
      <w:r w:rsidR="00456A02" w:rsidRPr="00456A02">
        <w:rPr>
          <w:rFonts w:ascii="Arial" w:hAnsi="Arial" w:cs="Arial"/>
          <w:lang w:val="en-US"/>
        </w:rPr>
        <w:t>küsimus</w:t>
      </w:r>
      <w:proofErr w:type="spellEnd"/>
      <w:r w:rsidR="00456A02" w:rsidRPr="00456A02">
        <w:rPr>
          <w:rFonts w:ascii="Arial" w:hAnsi="Arial" w:cs="Arial"/>
          <w:lang w:val="en-US"/>
        </w:rPr>
        <w:t xml:space="preserve">, kas </w:t>
      </w:r>
      <w:proofErr w:type="spellStart"/>
      <w:r w:rsidR="00456A02" w:rsidRPr="00456A02">
        <w:rPr>
          <w:rFonts w:ascii="Arial" w:hAnsi="Arial" w:cs="Arial"/>
          <w:lang w:val="en-US"/>
        </w:rPr>
        <w:t>peetakse</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silmas</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vaid</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ümberkujundatavast</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krediidist</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tulenevat</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kohustust</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või</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laenusaaja</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kõiki</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mh</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krediidandja-väliseid</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finantskohustusi</w:t>
      </w:r>
      <w:proofErr w:type="spellEnd"/>
      <w:r w:rsidR="00456A02" w:rsidRPr="00456A02">
        <w:rPr>
          <w:rFonts w:ascii="Arial" w:hAnsi="Arial" w:cs="Arial"/>
          <w:lang w:val="en-US"/>
        </w:rPr>
        <w:t xml:space="preserve"> </w:t>
      </w:r>
      <w:proofErr w:type="spellStart"/>
      <w:r w:rsidR="00456A02" w:rsidRPr="00456A02">
        <w:rPr>
          <w:rFonts w:ascii="Arial" w:hAnsi="Arial" w:cs="Arial"/>
          <w:lang w:val="en-US"/>
        </w:rPr>
        <w:t>tervikuna</w:t>
      </w:r>
      <w:proofErr w:type="spellEnd"/>
      <w:r w:rsidR="00456A02" w:rsidRPr="00456A02">
        <w:rPr>
          <w:rFonts w:ascii="Arial" w:hAnsi="Arial" w:cs="Arial"/>
          <w:lang w:val="en-US"/>
        </w:rPr>
        <w:t>.  </w:t>
      </w:r>
    </w:p>
    <w:p w14:paraId="402B7A1A" w14:textId="77777777" w:rsidR="00C94DD9" w:rsidRPr="00DA37F0" w:rsidRDefault="00C94DD9" w:rsidP="00D203FC">
      <w:pPr>
        <w:spacing w:after="0"/>
        <w:jc w:val="both"/>
        <w:rPr>
          <w:rFonts w:ascii="Arial" w:hAnsi="Arial" w:cs="Arial"/>
        </w:rPr>
      </w:pPr>
    </w:p>
    <w:p w14:paraId="6645B76B" w14:textId="77777777" w:rsidR="006E37D1" w:rsidRPr="00DA37F0" w:rsidRDefault="006E37D1" w:rsidP="00D203FC">
      <w:pPr>
        <w:spacing w:after="0"/>
        <w:jc w:val="both"/>
        <w:rPr>
          <w:rFonts w:ascii="Arial" w:hAnsi="Arial" w:cs="Arial"/>
        </w:rPr>
      </w:pPr>
    </w:p>
    <w:p w14:paraId="761A51B1" w14:textId="14D90FF4" w:rsidR="00245D6A" w:rsidRPr="00DA37F0" w:rsidRDefault="00A2485C" w:rsidP="00D203FC">
      <w:pPr>
        <w:spacing w:after="0"/>
        <w:jc w:val="both"/>
        <w:rPr>
          <w:rFonts w:ascii="Arial" w:hAnsi="Arial" w:cs="Arial"/>
        </w:rPr>
      </w:pPr>
      <w:r w:rsidRPr="00DA37F0">
        <w:rPr>
          <w:rFonts w:ascii="Arial" w:hAnsi="Arial" w:cs="Arial"/>
        </w:rPr>
        <w:t>Lugupidamisega</w:t>
      </w:r>
    </w:p>
    <w:p w14:paraId="0CB0994B" w14:textId="77777777" w:rsidR="006E37D1" w:rsidRPr="00DA37F0" w:rsidRDefault="006E37D1" w:rsidP="00D203FC">
      <w:pPr>
        <w:spacing w:after="0"/>
        <w:jc w:val="both"/>
        <w:rPr>
          <w:rFonts w:ascii="Arial" w:hAnsi="Arial" w:cs="Arial"/>
        </w:rPr>
      </w:pPr>
    </w:p>
    <w:p w14:paraId="61968069" w14:textId="1B9A620F" w:rsidR="00A2485C" w:rsidRPr="00DA37F0" w:rsidRDefault="006E37D1" w:rsidP="00D203FC">
      <w:pPr>
        <w:spacing w:after="0"/>
        <w:jc w:val="both"/>
        <w:rPr>
          <w:rFonts w:ascii="Arial" w:hAnsi="Arial" w:cs="Arial"/>
        </w:rPr>
      </w:pPr>
      <w:r w:rsidRPr="00DA37F0">
        <w:rPr>
          <w:rFonts w:ascii="Arial" w:hAnsi="Arial" w:cs="Arial"/>
        </w:rPr>
        <w:t>Katrin Talihärm</w:t>
      </w:r>
    </w:p>
    <w:p w14:paraId="439ADE7B" w14:textId="03454E4A" w:rsidR="006E37D1" w:rsidRPr="00DA37F0" w:rsidRDefault="006E37D1" w:rsidP="00D203FC">
      <w:pPr>
        <w:spacing w:after="0"/>
        <w:jc w:val="both"/>
        <w:rPr>
          <w:rFonts w:ascii="Arial" w:hAnsi="Arial" w:cs="Arial"/>
        </w:rPr>
      </w:pPr>
      <w:r w:rsidRPr="00DA37F0">
        <w:rPr>
          <w:rFonts w:ascii="Arial" w:hAnsi="Arial" w:cs="Arial"/>
        </w:rPr>
        <w:t>Eesti Pangaliit</w:t>
      </w:r>
    </w:p>
    <w:sectPr w:rsidR="006E37D1" w:rsidRPr="00DA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639C0"/>
    <w:multiLevelType w:val="hybridMultilevel"/>
    <w:tmpl w:val="5A18A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096335"/>
    <w:multiLevelType w:val="hybridMultilevel"/>
    <w:tmpl w:val="198454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15813568">
    <w:abstractNumId w:val="1"/>
  </w:num>
  <w:num w:numId="2" w16cid:durableId="1252818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F7"/>
    <w:rsid w:val="000C6633"/>
    <w:rsid w:val="00110A18"/>
    <w:rsid w:val="0013482A"/>
    <w:rsid w:val="00171C64"/>
    <w:rsid w:val="001A61F7"/>
    <w:rsid w:val="00233B81"/>
    <w:rsid w:val="00245D6A"/>
    <w:rsid w:val="00326233"/>
    <w:rsid w:val="00366DE3"/>
    <w:rsid w:val="00390912"/>
    <w:rsid w:val="0039399E"/>
    <w:rsid w:val="003B3F61"/>
    <w:rsid w:val="003B5E2E"/>
    <w:rsid w:val="003B7441"/>
    <w:rsid w:val="00453D71"/>
    <w:rsid w:val="00456A02"/>
    <w:rsid w:val="00490A1C"/>
    <w:rsid w:val="004B0634"/>
    <w:rsid w:val="004B0771"/>
    <w:rsid w:val="004E5F75"/>
    <w:rsid w:val="004F306F"/>
    <w:rsid w:val="00522177"/>
    <w:rsid w:val="005857AD"/>
    <w:rsid w:val="005A2E60"/>
    <w:rsid w:val="005A78DE"/>
    <w:rsid w:val="006E37D1"/>
    <w:rsid w:val="007212E2"/>
    <w:rsid w:val="007422DD"/>
    <w:rsid w:val="00743DDD"/>
    <w:rsid w:val="007A14AB"/>
    <w:rsid w:val="007D7E0A"/>
    <w:rsid w:val="008B4440"/>
    <w:rsid w:val="008F496F"/>
    <w:rsid w:val="00900ECE"/>
    <w:rsid w:val="00914551"/>
    <w:rsid w:val="00920069"/>
    <w:rsid w:val="009D046B"/>
    <w:rsid w:val="009D16E0"/>
    <w:rsid w:val="00A02275"/>
    <w:rsid w:val="00A2485C"/>
    <w:rsid w:val="00A25A57"/>
    <w:rsid w:val="00A25F81"/>
    <w:rsid w:val="00A95998"/>
    <w:rsid w:val="00AF15C4"/>
    <w:rsid w:val="00B54914"/>
    <w:rsid w:val="00BE206A"/>
    <w:rsid w:val="00C30642"/>
    <w:rsid w:val="00C7093F"/>
    <w:rsid w:val="00C73DE7"/>
    <w:rsid w:val="00C94DD9"/>
    <w:rsid w:val="00CE0273"/>
    <w:rsid w:val="00D02CB6"/>
    <w:rsid w:val="00D155BE"/>
    <w:rsid w:val="00D203FC"/>
    <w:rsid w:val="00D26FD9"/>
    <w:rsid w:val="00D548DD"/>
    <w:rsid w:val="00D919AA"/>
    <w:rsid w:val="00DA37F0"/>
    <w:rsid w:val="00DD018A"/>
    <w:rsid w:val="00DD2349"/>
    <w:rsid w:val="00DF79C2"/>
    <w:rsid w:val="00E56581"/>
    <w:rsid w:val="00F00922"/>
    <w:rsid w:val="00F56C8E"/>
    <w:rsid w:val="00F74A3B"/>
    <w:rsid w:val="00FF0A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93A1"/>
  <w15:chartTrackingRefBased/>
  <w15:docId w15:val="{7CB4C7F8-E31C-4676-868E-73ECCD9D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93F"/>
    <w:pPr>
      <w:ind w:left="720"/>
      <w:contextualSpacing/>
    </w:pPr>
  </w:style>
  <w:style w:type="character" w:styleId="CommentReference">
    <w:name w:val="annotation reference"/>
    <w:basedOn w:val="DefaultParagraphFont"/>
    <w:uiPriority w:val="99"/>
    <w:semiHidden/>
    <w:unhideWhenUsed/>
    <w:rsid w:val="00110A18"/>
    <w:rPr>
      <w:sz w:val="16"/>
      <w:szCs w:val="16"/>
    </w:rPr>
  </w:style>
  <w:style w:type="paragraph" w:styleId="CommentText">
    <w:name w:val="annotation text"/>
    <w:basedOn w:val="Normal"/>
    <w:link w:val="CommentTextChar"/>
    <w:uiPriority w:val="99"/>
    <w:semiHidden/>
    <w:unhideWhenUsed/>
    <w:rsid w:val="00110A18"/>
    <w:pPr>
      <w:spacing w:line="240" w:lineRule="auto"/>
    </w:pPr>
    <w:rPr>
      <w:sz w:val="20"/>
      <w:szCs w:val="20"/>
    </w:rPr>
  </w:style>
  <w:style w:type="character" w:customStyle="1" w:styleId="CommentTextChar">
    <w:name w:val="Comment Text Char"/>
    <w:basedOn w:val="DefaultParagraphFont"/>
    <w:link w:val="CommentText"/>
    <w:uiPriority w:val="99"/>
    <w:semiHidden/>
    <w:rsid w:val="00110A18"/>
    <w:rPr>
      <w:sz w:val="20"/>
      <w:szCs w:val="20"/>
    </w:rPr>
  </w:style>
  <w:style w:type="paragraph" w:styleId="CommentSubject">
    <w:name w:val="annotation subject"/>
    <w:basedOn w:val="CommentText"/>
    <w:next w:val="CommentText"/>
    <w:link w:val="CommentSubjectChar"/>
    <w:uiPriority w:val="99"/>
    <w:semiHidden/>
    <w:unhideWhenUsed/>
    <w:rsid w:val="00110A18"/>
    <w:rPr>
      <w:b/>
      <w:bCs/>
    </w:rPr>
  </w:style>
  <w:style w:type="character" w:customStyle="1" w:styleId="CommentSubjectChar">
    <w:name w:val="Comment Subject Char"/>
    <w:basedOn w:val="CommentTextChar"/>
    <w:link w:val="CommentSubject"/>
    <w:uiPriority w:val="99"/>
    <w:semiHidden/>
    <w:rsid w:val="00110A18"/>
    <w:rPr>
      <w:b/>
      <w:bCs/>
      <w:sz w:val="20"/>
      <w:szCs w:val="20"/>
    </w:rPr>
  </w:style>
  <w:style w:type="paragraph" w:styleId="Revision">
    <w:name w:val="Revision"/>
    <w:hidden/>
    <w:uiPriority w:val="99"/>
    <w:semiHidden/>
    <w:rsid w:val="00FF0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70650">
      <w:bodyDiv w:val="1"/>
      <w:marLeft w:val="0"/>
      <w:marRight w:val="0"/>
      <w:marTop w:val="0"/>
      <w:marBottom w:val="0"/>
      <w:divBdr>
        <w:top w:val="none" w:sz="0" w:space="0" w:color="auto"/>
        <w:left w:val="none" w:sz="0" w:space="0" w:color="auto"/>
        <w:bottom w:val="none" w:sz="0" w:space="0" w:color="auto"/>
        <w:right w:val="none" w:sz="0" w:space="0" w:color="auto"/>
      </w:divBdr>
    </w:div>
    <w:div w:id="14180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E8B7-C9AC-4D9D-940D-8A3F07E7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1368</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Reinfeld</dc:creator>
  <cp:keywords/>
  <dc:description/>
  <cp:lastModifiedBy>Vissak, Liina</cp:lastModifiedBy>
  <cp:revision>24</cp:revision>
  <dcterms:created xsi:type="dcterms:W3CDTF">2023-07-18T06:04:00Z</dcterms:created>
  <dcterms:modified xsi:type="dcterms:W3CDTF">2023-07-20T12:29:00Z</dcterms:modified>
</cp:coreProperties>
</file>